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xmlns:wp14="http://schemas.microsoft.com/office/word/2010/wordml" w:rsidRPr="00357196" w:rsidR="000167D5" w:rsidP="254EA77C" w:rsidRDefault="000167D5" w14:paraId="51AB755A" wp14:textId="14EC259B">
      <w:pPr>
        <w:pStyle w:val="Nagwek1"/>
        <w:jc w:val="center"/>
        <w:rPr>
          <w:rFonts w:ascii="Arial" w:hAnsi="Arial" w:cs="Arial"/>
          <w:sz w:val="22"/>
          <w:szCs w:val="22"/>
        </w:rPr>
      </w:pPr>
      <w:r w:rsidRPr="254EA77C" w:rsidR="000167D5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xmlns:wp14="http://schemas.microsoft.com/office/word/2010/wordml" w:rsidRPr="00357196" w:rsidR="000167D5" w:rsidRDefault="000167D5" w14:paraId="5DAB6C7B" wp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xmlns:wp14="http://schemas.microsoft.com/office/word/2010/wordml" w:rsidRPr="00357196" w:rsidR="000167D5" w:rsidTr="254EA77C" w14:paraId="2027EE81" wp14:textId="77777777">
        <w:trPr>
          <w:trHeight w:val="395"/>
        </w:trPr>
        <w:tc>
          <w:tcPr>
            <w:tcW w:w="1985" w:type="dxa"/>
            <w:shd w:val="clear" w:color="auto" w:fill="DBE5F1"/>
            <w:tcMar/>
            <w:vAlign w:val="center"/>
          </w:tcPr>
          <w:p w:rsidRPr="00357196" w:rsidR="000167D5" w:rsidRDefault="000167D5" w14:paraId="5480EF1D" wp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196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Mar/>
            <w:vAlign w:val="center"/>
          </w:tcPr>
          <w:p w:rsidRPr="00357196" w:rsidR="000167D5" w:rsidRDefault="00914AA4" w14:paraId="612C9747" wp14:textId="4845D12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254EA77C" w:rsidR="00914AA4">
              <w:rPr>
                <w:rFonts w:ascii="Arial" w:hAnsi="Arial" w:cs="Arial"/>
                <w:sz w:val="20"/>
                <w:szCs w:val="20"/>
              </w:rPr>
              <w:t>Antropologia kultur</w:t>
            </w:r>
            <w:r w:rsidRPr="254EA77C" w:rsidR="20EB956F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xmlns:wp14="http://schemas.microsoft.com/office/word/2010/wordml" w:rsidRPr="00357196" w:rsidR="000167D5" w:rsidTr="254EA77C" w14:paraId="6E9A270C" wp14:textId="77777777">
        <w:trPr>
          <w:trHeight w:val="379"/>
        </w:trPr>
        <w:tc>
          <w:tcPr>
            <w:tcW w:w="1985" w:type="dxa"/>
            <w:shd w:val="clear" w:color="auto" w:fill="DBE5F1"/>
            <w:tcMar/>
            <w:vAlign w:val="center"/>
          </w:tcPr>
          <w:p w:rsidRPr="00357196" w:rsidR="000167D5" w:rsidRDefault="000167D5" w14:paraId="1595C287" wp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196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Mar/>
            <w:vAlign w:val="center"/>
          </w:tcPr>
          <w:p w:rsidRPr="00357196" w:rsidR="000167D5" w:rsidRDefault="00914AA4" w14:paraId="71952FFC" wp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196">
              <w:rPr>
                <w:rFonts w:ascii="Arial" w:hAnsi="Arial" w:cs="Arial"/>
                <w:sz w:val="20"/>
                <w:szCs w:val="20"/>
              </w:rPr>
              <w:t>Cultural Anthropology</w:t>
            </w:r>
          </w:p>
        </w:tc>
      </w:tr>
    </w:tbl>
    <w:p xmlns:wp14="http://schemas.microsoft.com/office/word/2010/wordml" w:rsidRPr="00357196" w:rsidR="000167D5" w:rsidRDefault="000167D5" w14:paraId="02EB378F" wp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xmlns:wp14="http://schemas.microsoft.com/office/word/2010/wordml" w:rsidRPr="00357196" w:rsidR="000167D5" w:rsidTr="254EA77C" w14:paraId="68FF3932" wp14:textId="77777777">
        <w:trPr>
          <w:trHeight w:val="405"/>
        </w:trPr>
        <w:tc>
          <w:tcPr>
            <w:tcW w:w="1985" w:type="dxa"/>
            <w:shd w:val="clear" w:color="auto" w:fill="DBE5F1"/>
            <w:tcMar/>
            <w:vAlign w:val="center"/>
          </w:tcPr>
          <w:p w:rsidRPr="00357196" w:rsidR="000167D5" w:rsidRDefault="000167D5" w14:paraId="76CF5B8D" wp14:textId="77777777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57196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Mar/>
            <w:vAlign w:val="center"/>
          </w:tcPr>
          <w:p w:rsidRPr="00357196" w:rsidR="000167D5" w:rsidRDefault="000167D5" w14:paraId="6A05A809" wp14:textId="77777777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tcMar/>
            <w:vAlign w:val="center"/>
          </w:tcPr>
          <w:p w:rsidRPr="00357196" w:rsidR="000167D5" w:rsidRDefault="000167D5" w14:paraId="70ABD06F" wp14:textId="77777777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196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Mar/>
            <w:vAlign w:val="center"/>
          </w:tcPr>
          <w:p w:rsidRPr="00357196" w:rsidR="000167D5" w:rsidRDefault="004A19A3" w14:paraId="78941E47" wp14:textId="5C6A86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254EA77C" w:rsidR="0D64FD7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Pr="00357196" w:rsidR="000167D5" w:rsidRDefault="000167D5" w14:paraId="5A39BBE3" wp14:textId="77777777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xmlns:wp14="http://schemas.microsoft.com/office/word/2010/wordml" w:rsidRPr="00357196" w:rsidR="000167D5" w14:paraId="489F25E7" wp14:textId="77777777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Pr="00357196" w:rsidR="000167D5" w:rsidRDefault="000167D5" w14:paraId="69C2AF6E" wp14:textId="77777777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196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Pr="00357196" w:rsidR="000167D5" w:rsidRDefault="00327697" w14:paraId="31FACB31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196">
              <w:rPr>
                <w:rFonts w:ascii="Arial" w:hAnsi="Arial" w:cs="Arial"/>
                <w:sz w:val="20"/>
                <w:szCs w:val="20"/>
              </w:rPr>
              <w:t>Dr Maria Rogińska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Pr="00357196" w:rsidR="000167D5" w:rsidRDefault="000167D5" w14:paraId="7B1FB2F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196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</w:tbl>
    <w:p xmlns:wp14="http://schemas.microsoft.com/office/word/2010/wordml" w:rsidRPr="00357196" w:rsidR="000167D5" w:rsidRDefault="000167D5" w14:paraId="41C8F396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Pr="00357196" w:rsidR="000167D5" w:rsidRDefault="000167D5" w14:paraId="72A3D3EC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Pr="00357196" w:rsidR="000167D5" w:rsidRDefault="000167D5" w14:paraId="3188016C" wp14:textId="77777777">
      <w:pPr>
        <w:rPr>
          <w:rFonts w:ascii="Arial" w:hAnsi="Arial" w:cs="Arial"/>
          <w:sz w:val="22"/>
          <w:szCs w:val="16"/>
        </w:rPr>
      </w:pPr>
      <w:r w:rsidRPr="00357196">
        <w:rPr>
          <w:rFonts w:ascii="Arial" w:hAnsi="Arial" w:cs="Arial"/>
          <w:sz w:val="22"/>
          <w:szCs w:val="16"/>
        </w:rPr>
        <w:t>Opis kursu (cele kształcenia)</w:t>
      </w:r>
    </w:p>
    <w:p xmlns:wp14="http://schemas.microsoft.com/office/word/2010/wordml" w:rsidRPr="00357196" w:rsidR="000167D5" w:rsidRDefault="000167D5" w14:paraId="0D0B940D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xmlns:wp14="http://schemas.microsoft.com/office/word/2010/wordml" w:rsidRPr="00357196" w:rsidR="000167D5" w14:paraId="1181A6C8" wp14:textId="77777777">
        <w:tblPrEx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9640" w:type="dxa"/>
          </w:tcPr>
          <w:p w:rsidRPr="00357196" w:rsidR="000167D5" w:rsidRDefault="00327697" w14:paraId="78247784" wp14:textId="77777777">
            <w:pPr>
              <w:rPr>
                <w:rFonts w:ascii="Arial" w:hAnsi="Arial" w:cs="Arial"/>
                <w:sz w:val="22"/>
                <w:szCs w:val="16"/>
              </w:rPr>
            </w:pPr>
            <w:r w:rsidRPr="00357196">
              <w:rPr>
                <w:rFonts w:ascii="Calibri" w:hAnsi="Calibri"/>
                <w:color w:val="000000"/>
                <w:sz w:val="18"/>
                <w:szCs w:val="18"/>
              </w:rPr>
              <w:t xml:space="preserve">Absolwent posiada uporządkowaną wiedzę o kulturze i człowieku jako jej twórcy, historii i przyczynach powstania kultury, mechanizmach jej funkcjonowania, a także procesach zmiany kulturowej. Rozumie specyfikę kultur tradycyjnych. Ma znajomość kategorii myślenia pierwotnego, typowych struktur i instytucji kultur pierwotnych, rozumie problematykę płci kulturowej. Zna główne nurty teoretyczne w antropologii kulturowej oraz metody badań antropologicznych. Absolwent potrafi zastosować nabytą wiedzę nie tylko do materiału etnograficznego, ale również do kultury społeczeństw </w:t>
            </w:r>
            <w:r w:rsidR="00236A68">
              <w:rPr>
                <w:rFonts w:ascii="Calibri" w:hAnsi="Calibri"/>
                <w:color w:val="000000"/>
                <w:sz w:val="18"/>
                <w:szCs w:val="18"/>
              </w:rPr>
              <w:t>nowo</w:t>
            </w:r>
            <w:r w:rsidRPr="00357196">
              <w:rPr>
                <w:rFonts w:ascii="Calibri" w:hAnsi="Calibri"/>
                <w:color w:val="000000"/>
                <w:sz w:val="18"/>
                <w:szCs w:val="18"/>
              </w:rPr>
              <w:t xml:space="preserve">czesnych. </w:t>
            </w:r>
            <w:r w:rsidR="003F18A3">
              <w:rPr>
                <w:rFonts w:ascii="Calibri" w:hAnsi="Calibri"/>
                <w:color w:val="000000"/>
                <w:sz w:val="18"/>
                <w:szCs w:val="18"/>
              </w:rPr>
              <w:t>P</w:t>
            </w:r>
            <w:r w:rsidRPr="00357196">
              <w:rPr>
                <w:rFonts w:ascii="Calibri" w:hAnsi="Calibri"/>
                <w:color w:val="000000"/>
                <w:sz w:val="18"/>
                <w:szCs w:val="18"/>
              </w:rPr>
              <w:t xml:space="preserve">osiada kompetencje społeczne, umożliwiające mu orientację w przestrzeni kulturowej, </w:t>
            </w:r>
            <w:r w:rsidRPr="00357196" w:rsidR="00512CE1">
              <w:rPr>
                <w:rFonts w:ascii="Calibri" w:hAnsi="Calibri"/>
                <w:color w:val="000000"/>
                <w:sz w:val="18"/>
                <w:szCs w:val="18"/>
              </w:rPr>
              <w:t>rozwija</w:t>
            </w:r>
            <w:r w:rsidRPr="00357196">
              <w:rPr>
                <w:rFonts w:ascii="Calibri" w:hAnsi="Calibri"/>
                <w:color w:val="000000"/>
                <w:sz w:val="18"/>
                <w:szCs w:val="18"/>
              </w:rPr>
              <w:t xml:space="preserve"> wyobraźnię antropologiczną, wykazuje się tolerancją wobec innych kultur i ras, w dojrzały sposób akceptuje inność i prawo do inności.</w:t>
            </w:r>
          </w:p>
        </w:tc>
      </w:tr>
    </w:tbl>
    <w:p xmlns:wp14="http://schemas.microsoft.com/office/word/2010/wordml" w:rsidRPr="00357196" w:rsidR="000167D5" w:rsidRDefault="000167D5" w14:paraId="0E27B00A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Pr="00357196" w:rsidR="000167D5" w:rsidRDefault="000167D5" w14:paraId="60061E4C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Pr="00357196" w:rsidR="000167D5" w:rsidRDefault="000167D5" w14:paraId="38A9EB4F" wp14:textId="77777777">
      <w:pPr>
        <w:rPr>
          <w:rFonts w:ascii="Arial" w:hAnsi="Arial" w:cs="Arial"/>
          <w:sz w:val="22"/>
          <w:szCs w:val="16"/>
        </w:rPr>
      </w:pPr>
      <w:r w:rsidRPr="00357196">
        <w:rPr>
          <w:rFonts w:ascii="Arial" w:hAnsi="Arial" w:cs="Arial"/>
          <w:sz w:val="22"/>
          <w:szCs w:val="16"/>
        </w:rPr>
        <w:t>Warunki wstępne</w:t>
      </w:r>
    </w:p>
    <w:p xmlns:wp14="http://schemas.microsoft.com/office/word/2010/wordml" w:rsidRPr="00357196" w:rsidR="000167D5" w:rsidRDefault="000167D5" w14:paraId="44EAFD9C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Pr="00357196" w:rsidR="000167D5" w14:paraId="3E8DCBA7" wp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Pr="00357196" w:rsidR="000167D5" w:rsidRDefault="000167D5" w14:paraId="270A427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196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357196" w:rsidR="000167D5" w:rsidRDefault="000167D5" w14:paraId="4B94D5A5" wp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Pr="00357196" w:rsidR="000167D5" w:rsidRDefault="00AD2814" w14:paraId="77A7985F" wp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Kandydat </w:t>
            </w:r>
            <w:r w:rsidRPr="00357196" w:rsidR="002127DE">
              <w:rPr>
                <w:rFonts w:ascii="Calibri" w:hAnsi="Calibri"/>
                <w:color w:val="000000"/>
                <w:sz w:val="18"/>
                <w:szCs w:val="18"/>
              </w:rPr>
              <w:t>posiada ogólną wiedzę historyczną i geograficzną, zna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na poziomie podstawowym</w:t>
            </w:r>
            <w:r w:rsidRPr="00357196" w:rsidR="002127DE">
              <w:rPr>
                <w:rFonts w:ascii="Calibri" w:hAnsi="Calibri"/>
                <w:color w:val="000000"/>
                <w:sz w:val="18"/>
                <w:szCs w:val="18"/>
              </w:rPr>
              <w:t xml:space="preserve"> problematykę nauk społecznych, a także m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a</w:t>
            </w:r>
            <w:r w:rsidRPr="00357196" w:rsidR="002127DE">
              <w:rPr>
                <w:rFonts w:ascii="Calibri" w:hAnsi="Calibri"/>
                <w:color w:val="000000"/>
                <w:sz w:val="18"/>
                <w:szCs w:val="18"/>
              </w:rPr>
              <w:t xml:space="preserve"> elementarną znajomość stosowanych w nich technik badawczych.</w:t>
            </w:r>
          </w:p>
          <w:p w:rsidRPr="00357196" w:rsidR="000167D5" w:rsidRDefault="000167D5" w14:paraId="3DEEC669" wp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xmlns:wp14="http://schemas.microsoft.com/office/word/2010/wordml" w:rsidRPr="00357196" w:rsidR="000167D5" w14:paraId="6D7BD44E" wp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Pr="00357196" w:rsidR="000167D5" w:rsidRDefault="000167D5" w14:paraId="1A0AA4D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196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357196" w:rsidR="000167D5" w:rsidRDefault="00AD2814" w14:paraId="127C3023" wp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Kandydat </w:t>
            </w:r>
            <w:r w:rsidRPr="00357196" w:rsidR="002127DE">
              <w:rPr>
                <w:rFonts w:ascii="Calibri" w:hAnsi="Calibri"/>
                <w:color w:val="000000"/>
                <w:sz w:val="18"/>
                <w:szCs w:val="18"/>
              </w:rPr>
              <w:t>umie samodzielnie pracować z tekstem, stawiać tezy i budować argumentację na ich poparcie, uczestniczyć w dyskusji.</w:t>
            </w:r>
          </w:p>
          <w:p w:rsidRPr="00357196" w:rsidR="000167D5" w:rsidRDefault="000167D5" w14:paraId="3656B9AB" wp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xmlns:wp14="http://schemas.microsoft.com/office/word/2010/wordml" w:rsidRPr="00357196" w:rsidR="000167D5" w14:paraId="40AD1E41" wp14:textId="77777777">
        <w:tc>
          <w:tcPr>
            <w:tcW w:w="1941" w:type="dxa"/>
            <w:shd w:val="clear" w:color="auto" w:fill="DBE5F1"/>
            <w:vAlign w:val="center"/>
          </w:tcPr>
          <w:p w:rsidRPr="00357196" w:rsidR="000167D5" w:rsidRDefault="000167D5" w14:paraId="333573DF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196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357196" w:rsidR="000167D5" w:rsidRDefault="000167D5" w14:paraId="45FB0818" wp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Pr="00357196" w:rsidR="000167D5" w:rsidRDefault="000167D5" w14:paraId="049F31CB" wp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xmlns:wp14="http://schemas.microsoft.com/office/word/2010/wordml" w:rsidR="000167D5" w:rsidRDefault="000167D5" w14:paraId="53128261" wp14:textId="77777777">
      <w:pPr>
        <w:rPr>
          <w:rFonts w:ascii="Arial" w:hAnsi="Arial" w:cs="Arial"/>
          <w:sz w:val="22"/>
          <w:szCs w:val="14"/>
        </w:rPr>
      </w:pPr>
    </w:p>
    <w:p xmlns:wp14="http://schemas.microsoft.com/office/word/2010/wordml" w:rsidR="003F18A3" w:rsidRDefault="003F18A3" w14:paraId="62486C05" wp14:textId="77777777">
      <w:pPr>
        <w:rPr>
          <w:rFonts w:ascii="Arial" w:hAnsi="Arial" w:cs="Arial"/>
          <w:sz w:val="22"/>
          <w:szCs w:val="14"/>
        </w:rPr>
      </w:pPr>
    </w:p>
    <w:p xmlns:wp14="http://schemas.microsoft.com/office/word/2010/wordml" w:rsidRPr="00357196" w:rsidR="000167D5" w:rsidRDefault="000167D5" w14:paraId="2B881225" wp14:textId="6E57CA92">
      <w:pPr>
        <w:rPr>
          <w:rFonts w:ascii="Arial" w:hAnsi="Arial" w:cs="Arial"/>
          <w:sz w:val="22"/>
          <w:szCs w:val="22"/>
        </w:rPr>
      </w:pPr>
      <w:r w:rsidRPr="254EA77C" w:rsidR="000167D5">
        <w:rPr>
          <w:rFonts w:ascii="Arial" w:hAnsi="Arial" w:cs="Arial"/>
          <w:sz w:val="22"/>
          <w:szCs w:val="22"/>
        </w:rPr>
        <w:t xml:space="preserve">Efekty </w:t>
      </w:r>
      <w:r w:rsidRPr="254EA77C" w:rsidR="1039A189">
        <w:rPr>
          <w:rFonts w:ascii="Arial" w:hAnsi="Arial" w:cs="Arial"/>
          <w:sz w:val="22"/>
          <w:szCs w:val="22"/>
        </w:rPr>
        <w:t>uczenia się</w:t>
      </w:r>
    </w:p>
    <w:p xmlns:wp14="http://schemas.microsoft.com/office/word/2010/wordml" w:rsidRPr="00357196" w:rsidR="000167D5" w:rsidRDefault="000167D5" w14:paraId="4101652C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xmlns:wp14="http://schemas.microsoft.com/office/word/2010/wordml" w:rsidRPr="00357196" w:rsidR="000167D5" w:rsidTr="254EA77C" w14:paraId="4D423CE4" wp14:textId="77777777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Pr="00357196" w:rsidR="000167D5" w:rsidRDefault="000167D5" w14:paraId="1EE364D2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196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Pr="00357196" w:rsidR="000167D5" w:rsidRDefault="000167D5" w14:paraId="153C8211" wp14:textId="37E119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254EA77C" w:rsidR="000167D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254EA77C" w:rsidR="256FC516">
              <w:rPr>
                <w:rFonts w:ascii="Arial" w:hAnsi="Arial" w:cs="Arial"/>
                <w:sz w:val="20"/>
                <w:szCs w:val="20"/>
              </w:rPr>
              <w:t>uczeni</w:t>
            </w:r>
            <w:r w:rsidRPr="254EA77C" w:rsidR="000167D5">
              <w:rPr>
                <w:rFonts w:ascii="Arial" w:hAnsi="Arial" w:cs="Arial"/>
                <w:sz w:val="20"/>
                <w:szCs w:val="20"/>
              </w:rPr>
              <w:t>a</w:t>
            </w:r>
            <w:r w:rsidRPr="254EA77C" w:rsidR="1B57E2F6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254EA77C" w:rsidR="000167D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Pr="00357196" w:rsidR="000167D5" w:rsidRDefault="000167D5" w14:paraId="728487E8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196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Pr="00357196" w:rsidR="000167D5" w:rsidTr="254EA77C" w14:paraId="28C758A1" wp14:textId="77777777">
        <w:tblPrEx>
          <w:tblCellMar>
            <w:top w:w="0" w:type="dxa"/>
            <w:bottom w:w="0" w:type="dxa"/>
          </w:tblCellMar>
        </w:tblPrEx>
        <w:trPr>
          <w:cantSplit/>
          <w:trHeight w:val="2542"/>
        </w:trPr>
        <w:tc>
          <w:tcPr>
            <w:tcW w:w="1985" w:type="dxa"/>
            <w:vMerge/>
            <w:tcMar/>
          </w:tcPr>
          <w:p w:rsidRPr="00357196" w:rsidR="000167D5" w:rsidRDefault="000167D5" w14:paraId="4B99056E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Pr="005454CF" w:rsidR="001B0723" w:rsidRDefault="002127DE" w14:paraId="5E047899" wp14:textId="77777777">
            <w:pPr>
              <w:rPr>
                <w:color w:val="000000"/>
                <w:sz w:val="18"/>
                <w:szCs w:val="18"/>
              </w:rPr>
            </w:pPr>
            <w:r w:rsidRPr="005454CF">
              <w:rPr>
                <w:color w:val="000000"/>
                <w:sz w:val="18"/>
                <w:szCs w:val="18"/>
              </w:rPr>
              <w:t>W01 – ma znajomość problematyki antropologii kulturowej i jej miejsca w systemie nauk społecznych.</w:t>
            </w:r>
            <w:r w:rsidRPr="005454CF" w:rsidR="00846024">
              <w:rPr>
                <w:color w:val="000000"/>
                <w:sz w:val="18"/>
                <w:szCs w:val="18"/>
              </w:rPr>
              <w:t xml:space="preserve"> Zna podstawy metodologii badań </w:t>
            </w:r>
            <w:r w:rsidRPr="005454CF" w:rsidR="001B0723">
              <w:rPr>
                <w:color w:val="000000"/>
                <w:sz w:val="18"/>
                <w:szCs w:val="18"/>
              </w:rPr>
              <w:t>antropologicznych</w:t>
            </w:r>
            <w:r w:rsidRPr="005454CF" w:rsidR="00846024">
              <w:rPr>
                <w:color w:val="000000"/>
                <w:sz w:val="18"/>
                <w:szCs w:val="18"/>
              </w:rPr>
              <w:t xml:space="preserve">, </w:t>
            </w:r>
            <w:r w:rsidRPr="005454CF" w:rsidR="004248B2">
              <w:rPr>
                <w:color w:val="000000"/>
                <w:sz w:val="18"/>
                <w:szCs w:val="18"/>
              </w:rPr>
              <w:t xml:space="preserve">rozumie </w:t>
            </w:r>
            <w:r w:rsidRPr="005454CF" w:rsidR="00846024">
              <w:rPr>
                <w:color w:val="000000"/>
                <w:sz w:val="18"/>
                <w:szCs w:val="18"/>
              </w:rPr>
              <w:t>ich możliwości i ograniczenia, a także związane z nimi problemy etyczne.</w:t>
            </w:r>
            <w:r w:rsidRPr="005454CF">
              <w:rPr>
                <w:sz w:val="18"/>
                <w:szCs w:val="18"/>
              </w:rPr>
              <w:br/>
            </w:r>
            <w:r w:rsidRPr="005454CF">
              <w:rPr>
                <w:sz w:val="18"/>
                <w:szCs w:val="18"/>
              </w:rPr>
              <w:br/>
            </w:r>
            <w:r w:rsidRPr="005454CF">
              <w:rPr>
                <w:color w:val="000000"/>
                <w:sz w:val="18"/>
                <w:szCs w:val="18"/>
              </w:rPr>
              <w:t>W02 – ma wiedzę o cz</w:t>
            </w:r>
            <w:r w:rsidRPr="005454CF" w:rsidR="00512CE1">
              <w:rPr>
                <w:color w:val="000000"/>
                <w:sz w:val="18"/>
                <w:szCs w:val="18"/>
              </w:rPr>
              <w:t>łowieku jako podmiocie konstytuującym</w:t>
            </w:r>
            <w:r w:rsidRPr="005454CF">
              <w:rPr>
                <w:color w:val="000000"/>
                <w:sz w:val="18"/>
                <w:szCs w:val="18"/>
              </w:rPr>
              <w:t xml:space="preserve"> kulturę, uświadamia </w:t>
            </w:r>
            <w:r w:rsidRPr="005454CF" w:rsidR="001544F2">
              <w:rPr>
                <w:color w:val="000000"/>
                <w:sz w:val="18"/>
                <w:szCs w:val="18"/>
              </w:rPr>
              <w:t xml:space="preserve">rolę </w:t>
            </w:r>
            <w:r w:rsidRPr="005454CF">
              <w:rPr>
                <w:color w:val="000000"/>
                <w:sz w:val="18"/>
                <w:szCs w:val="18"/>
              </w:rPr>
              <w:t>badań antropologicznych dla rozumienia człowieka i różnorodności tworzonych przez niego kultur</w:t>
            </w:r>
            <w:r w:rsidRPr="005454CF" w:rsidR="001B0723">
              <w:rPr>
                <w:color w:val="000000"/>
                <w:sz w:val="18"/>
                <w:szCs w:val="18"/>
              </w:rPr>
              <w:t>. Posiada znajomość etapów antropogenezy</w:t>
            </w:r>
            <w:r w:rsidRPr="005454CF" w:rsidR="00480ADA">
              <w:rPr>
                <w:color w:val="000000"/>
                <w:sz w:val="18"/>
                <w:szCs w:val="18"/>
              </w:rPr>
              <w:t>,</w:t>
            </w:r>
            <w:r w:rsidRPr="005454CF" w:rsidR="001B0723">
              <w:rPr>
                <w:color w:val="000000"/>
                <w:sz w:val="18"/>
                <w:szCs w:val="18"/>
              </w:rPr>
              <w:t xml:space="preserve"> wymienia elementy „kultury” zwierząt</w:t>
            </w:r>
            <w:r w:rsidRPr="005454CF" w:rsidR="00480ADA">
              <w:rPr>
                <w:color w:val="000000"/>
                <w:sz w:val="18"/>
                <w:szCs w:val="18"/>
              </w:rPr>
              <w:t>, orientuje się w problematyce ras.</w:t>
            </w:r>
          </w:p>
          <w:p w:rsidRPr="005454CF" w:rsidR="001B0723" w:rsidRDefault="001B0723" w14:paraId="1299C43A" wp14:textId="77777777">
            <w:pPr>
              <w:rPr>
                <w:color w:val="000000"/>
                <w:sz w:val="18"/>
                <w:szCs w:val="18"/>
              </w:rPr>
            </w:pPr>
          </w:p>
          <w:p w:rsidRPr="005454CF" w:rsidR="008D7DDB" w:rsidRDefault="002127DE" w14:paraId="7B244CFA" wp14:textId="77777777">
            <w:pPr>
              <w:rPr>
                <w:sz w:val="18"/>
                <w:szCs w:val="18"/>
              </w:rPr>
            </w:pPr>
            <w:r w:rsidRPr="005454CF">
              <w:rPr>
                <w:color w:val="000000"/>
                <w:sz w:val="18"/>
                <w:szCs w:val="18"/>
              </w:rPr>
              <w:t>W0</w:t>
            </w:r>
            <w:r w:rsidRPr="005454CF" w:rsidR="0032466D">
              <w:rPr>
                <w:color w:val="000000"/>
                <w:sz w:val="18"/>
                <w:szCs w:val="18"/>
              </w:rPr>
              <w:t>3</w:t>
            </w:r>
            <w:r w:rsidRPr="005454CF">
              <w:rPr>
                <w:color w:val="000000"/>
                <w:sz w:val="18"/>
                <w:szCs w:val="18"/>
              </w:rPr>
              <w:t xml:space="preserve"> –</w:t>
            </w:r>
            <w:r w:rsidRPr="005454CF" w:rsidR="002923E0">
              <w:rPr>
                <w:color w:val="000000"/>
                <w:sz w:val="18"/>
                <w:szCs w:val="18"/>
              </w:rPr>
              <w:t xml:space="preserve"> </w:t>
            </w:r>
            <w:r w:rsidRPr="005454CF">
              <w:rPr>
                <w:color w:val="000000"/>
                <w:sz w:val="18"/>
                <w:szCs w:val="18"/>
              </w:rPr>
              <w:t xml:space="preserve">wymienia typowe cechy kultury tradycyjnej, tłumaczy historyczne i społeczne uwarunkowania zmian kulturowych; </w:t>
            </w:r>
            <w:r w:rsidRPr="005454CF" w:rsidR="004C159C">
              <w:rPr>
                <w:color w:val="000000"/>
                <w:sz w:val="18"/>
                <w:szCs w:val="18"/>
              </w:rPr>
              <w:t>posiada wiedzę o niektórych strukturach społecznych i instytucjach kultur tradycyjnych (politycznych, gospodarczych, religijnych i in.)</w:t>
            </w:r>
            <w:r w:rsidRPr="005454CF" w:rsidR="003F18A3">
              <w:rPr>
                <w:color w:val="000000"/>
                <w:sz w:val="18"/>
                <w:szCs w:val="18"/>
              </w:rPr>
              <w:t>. Charakteryzuje główne kategorie myślenia pierwotnego (mit, rytuał, magia, wierzenia pierwotne).  </w:t>
            </w:r>
            <w:r w:rsidRPr="005454CF">
              <w:rPr>
                <w:sz w:val="18"/>
                <w:szCs w:val="18"/>
              </w:rPr>
              <w:br/>
            </w:r>
          </w:p>
          <w:p w:rsidRPr="00357196" w:rsidR="000167D5" w:rsidRDefault="002127DE" w14:paraId="230A7474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5454CF">
              <w:rPr>
                <w:color w:val="000000"/>
                <w:sz w:val="18"/>
                <w:szCs w:val="18"/>
              </w:rPr>
              <w:t>W</w:t>
            </w:r>
            <w:r w:rsidRPr="005454CF" w:rsidR="0032466D">
              <w:rPr>
                <w:color w:val="000000"/>
                <w:sz w:val="18"/>
                <w:szCs w:val="18"/>
              </w:rPr>
              <w:t>04</w:t>
            </w:r>
            <w:r w:rsidRPr="005454CF">
              <w:rPr>
                <w:color w:val="000000"/>
                <w:sz w:val="18"/>
                <w:szCs w:val="18"/>
              </w:rPr>
              <w:t xml:space="preserve"> </w:t>
            </w:r>
            <w:r w:rsidRPr="005454CF" w:rsidR="00E31B5B">
              <w:rPr>
                <w:color w:val="000000"/>
                <w:sz w:val="18"/>
                <w:szCs w:val="18"/>
              </w:rPr>
              <w:t>–</w:t>
            </w:r>
            <w:r w:rsidRPr="005454CF">
              <w:rPr>
                <w:color w:val="000000"/>
                <w:sz w:val="18"/>
                <w:szCs w:val="18"/>
              </w:rPr>
              <w:t xml:space="preserve"> </w:t>
            </w:r>
            <w:r w:rsidRPr="005454CF" w:rsidR="007F6749">
              <w:rPr>
                <w:color w:val="000000"/>
                <w:sz w:val="18"/>
                <w:szCs w:val="18"/>
              </w:rPr>
              <w:t>z</w:t>
            </w:r>
            <w:r w:rsidRPr="005454CF">
              <w:rPr>
                <w:color w:val="000000"/>
                <w:sz w:val="18"/>
                <w:szCs w:val="18"/>
              </w:rPr>
              <w:t>na klasyczne nurty teoretyczne oraz histor</w:t>
            </w:r>
            <w:r w:rsidRPr="005454CF" w:rsidR="001B0723">
              <w:rPr>
                <w:color w:val="000000"/>
                <w:sz w:val="18"/>
                <w:szCs w:val="18"/>
              </w:rPr>
              <w:t xml:space="preserve">ię </w:t>
            </w:r>
            <w:r w:rsidRPr="005454CF">
              <w:rPr>
                <w:color w:val="000000"/>
                <w:sz w:val="18"/>
                <w:szCs w:val="18"/>
              </w:rPr>
              <w:t>rozw</w:t>
            </w:r>
            <w:r w:rsidRPr="005454CF" w:rsidR="001B0723">
              <w:rPr>
                <w:color w:val="000000"/>
                <w:sz w:val="18"/>
                <w:szCs w:val="18"/>
              </w:rPr>
              <w:t>oju</w:t>
            </w:r>
            <w:r w:rsidRPr="005454CF">
              <w:rPr>
                <w:color w:val="000000"/>
                <w:sz w:val="18"/>
                <w:szCs w:val="18"/>
              </w:rPr>
              <w:t xml:space="preserve"> poglądów w zakresie antropologii kulturowej.</w:t>
            </w:r>
            <w:r w:rsidRPr="005454C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tcMar/>
          </w:tcPr>
          <w:p w:rsidRPr="00357196" w:rsidR="002127DE" w:rsidRDefault="00C129B9" w14:paraId="0EEFAF28" wp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</w:t>
            </w:r>
            <w:r w:rsidRPr="00357196" w:rsidR="002127DE">
              <w:rPr>
                <w:rFonts w:ascii="Calibri" w:hAnsi="Calibri"/>
                <w:color w:val="000000"/>
                <w:sz w:val="18"/>
                <w:szCs w:val="18"/>
              </w:rPr>
              <w:t>_W01</w:t>
            </w:r>
            <w:r w:rsidR="005454CF">
              <w:rPr>
                <w:rFonts w:ascii="Calibri" w:hAnsi="Calibri"/>
                <w:color w:val="000000"/>
                <w:sz w:val="18"/>
                <w:szCs w:val="18"/>
              </w:rPr>
              <w:t>,</w:t>
            </w:r>
            <w:r w:rsidRPr="00357196" w:rsidR="002127DE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  <w:p w:rsidR="00846024" w:rsidP="00846024" w:rsidRDefault="00846024" w14:paraId="21355498" wp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K_W05</w:t>
            </w:r>
            <w:r w:rsidR="005454CF">
              <w:rPr>
                <w:rFonts w:ascii="Calibri" w:hAnsi="Calibri"/>
                <w:color w:val="000000"/>
                <w:sz w:val="18"/>
                <w:szCs w:val="18"/>
              </w:rPr>
              <w:t>,</w:t>
            </w:r>
          </w:p>
          <w:p w:rsidRPr="00357196" w:rsidR="00846024" w:rsidP="00846024" w:rsidRDefault="00846024" w14:paraId="600668D8" wp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</w:t>
            </w:r>
            <w:r w:rsidRPr="00357196">
              <w:rPr>
                <w:rFonts w:ascii="Calibri" w:hAnsi="Calibri"/>
                <w:color w:val="000000"/>
                <w:sz w:val="18"/>
                <w:szCs w:val="18"/>
              </w:rPr>
              <w:t>_W06</w:t>
            </w:r>
          </w:p>
          <w:p w:rsidRPr="00357196" w:rsidR="002127DE" w:rsidRDefault="002127DE" w14:paraId="4DDBEF00" wp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="005454CF" w:rsidRDefault="005454CF" w14:paraId="3461D779" wp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Pr="00357196" w:rsidR="002127DE" w:rsidRDefault="00F609A4" w14:paraId="6B3E0FA9" wp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</w:t>
            </w:r>
            <w:r w:rsidRPr="00357196" w:rsidR="002127DE">
              <w:rPr>
                <w:rFonts w:ascii="Calibri" w:hAnsi="Calibri"/>
                <w:color w:val="000000"/>
                <w:sz w:val="18"/>
                <w:szCs w:val="18"/>
              </w:rPr>
              <w:t>_W05</w:t>
            </w:r>
            <w:r w:rsidR="005454CF">
              <w:rPr>
                <w:rFonts w:ascii="Calibri" w:hAnsi="Calibri"/>
                <w:color w:val="000000"/>
                <w:sz w:val="18"/>
                <w:szCs w:val="18"/>
              </w:rPr>
              <w:t>,</w:t>
            </w:r>
            <w:r w:rsidRPr="00357196" w:rsidR="002127DE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  <w:p w:rsidR="00480ADA" w:rsidP="00480ADA" w:rsidRDefault="00480ADA" w14:paraId="6D898D42" wp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K_W11</w:t>
            </w:r>
            <w:r w:rsidR="005454CF">
              <w:rPr>
                <w:rFonts w:ascii="Calibri" w:hAnsi="Calibri"/>
                <w:color w:val="000000"/>
                <w:sz w:val="18"/>
                <w:szCs w:val="18"/>
              </w:rPr>
              <w:t>,</w:t>
            </w:r>
          </w:p>
          <w:p w:rsidR="00480ADA" w:rsidP="00480ADA" w:rsidRDefault="00480ADA" w14:paraId="73E111C8" wp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K_W12</w:t>
            </w:r>
          </w:p>
          <w:p w:rsidRPr="00357196" w:rsidR="002127DE" w:rsidRDefault="002127DE" w14:paraId="3CF2D8B6" wp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Pr="00357196" w:rsidR="002127DE" w:rsidRDefault="002127DE" w14:paraId="0FB78278" wp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="00170541" w:rsidP="00480ADA" w:rsidRDefault="00170541" w14:paraId="1FC39945" wp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="00480ADA" w:rsidP="00480ADA" w:rsidRDefault="00480ADA" w14:paraId="571E7F80" wp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</w:t>
            </w:r>
            <w:r w:rsidRPr="00357196">
              <w:rPr>
                <w:rFonts w:ascii="Calibri" w:hAnsi="Calibri"/>
                <w:color w:val="000000"/>
                <w:sz w:val="18"/>
                <w:szCs w:val="18"/>
              </w:rPr>
              <w:t>_W0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9</w:t>
            </w:r>
            <w:r w:rsidR="003F18A3">
              <w:rPr>
                <w:rFonts w:ascii="Calibri" w:hAnsi="Calibri"/>
                <w:color w:val="000000"/>
                <w:sz w:val="18"/>
                <w:szCs w:val="18"/>
              </w:rPr>
              <w:t>-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K_W12</w:t>
            </w:r>
            <w:r w:rsidR="005454CF">
              <w:rPr>
                <w:rFonts w:ascii="Calibri" w:hAnsi="Calibri"/>
                <w:color w:val="000000"/>
                <w:sz w:val="18"/>
                <w:szCs w:val="18"/>
              </w:rPr>
              <w:t>,</w:t>
            </w:r>
          </w:p>
          <w:p w:rsidRPr="00357196" w:rsidR="004C159C" w:rsidP="004C159C" w:rsidRDefault="004C159C" w14:paraId="79569C6D" wp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K_W02</w:t>
            </w:r>
          </w:p>
          <w:p w:rsidRPr="00357196" w:rsidR="00310CD7" w:rsidRDefault="00310CD7" w14:paraId="0562CB0E" wp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Pr="00357196" w:rsidR="00310CD7" w:rsidRDefault="00310CD7" w14:paraId="34CE0A41" wp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="00604DE6" w:rsidRDefault="00604DE6" w14:paraId="62EBF3C5" wp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="005454CF" w:rsidP="003F18A3" w:rsidRDefault="005454CF" w14:paraId="6D98A12B" wp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Pr="00357196" w:rsidR="00493E02" w:rsidP="003F18A3" w:rsidRDefault="00CB47CD" w14:paraId="698E63CA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K_W11</w:t>
            </w:r>
          </w:p>
        </w:tc>
      </w:tr>
    </w:tbl>
    <w:p xmlns:wp14="http://schemas.microsoft.com/office/word/2010/wordml" w:rsidR="000167D5" w:rsidRDefault="000167D5" w14:paraId="2946DB82" wp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xmlns:wp14="http://schemas.microsoft.com/office/word/2010/wordml" w:rsidR="005454CF" w:rsidTr="254EA77C" w14:paraId="26687BCE" wp14:textId="77777777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="005454CF" w:rsidP="004709C1" w:rsidRDefault="005454CF" w14:paraId="04BB5B39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="005454CF" w:rsidP="004709C1" w:rsidRDefault="005454CF" w14:paraId="160C3338" wp14:textId="4465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254EA77C" w:rsidR="10C5D1C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254EA77C" w:rsidR="7551E051">
              <w:rPr>
                <w:rFonts w:ascii="Arial" w:hAnsi="Arial" w:cs="Arial"/>
                <w:sz w:val="20"/>
                <w:szCs w:val="20"/>
              </w:rPr>
              <w:t>ucze</w:t>
            </w:r>
            <w:r w:rsidRPr="254EA77C" w:rsidR="10C5D1C9">
              <w:rPr>
                <w:rFonts w:ascii="Arial" w:hAnsi="Arial" w:cs="Arial"/>
                <w:sz w:val="20"/>
                <w:szCs w:val="20"/>
              </w:rPr>
              <w:t>nia</w:t>
            </w:r>
            <w:r w:rsidRPr="254EA77C" w:rsidR="06508B71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254EA77C" w:rsidR="10C5D1C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="005454CF" w:rsidP="004709C1" w:rsidRDefault="005454CF" w14:paraId="29810692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="005454CF" w:rsidTr="254EA77C" w14:paraId="3822D980" wp14:textId="77777777">
        <w:tblPrEx>
          <w:tblCellMar>
            <w:top w:w="0" w:type="dxa"/>
            <w:bottom w:w="0" w:type="dxa"/>
          </w:tblCellMar>
        </w:tblPrEx>
        <w:trPr>
          <w:cantSplit/>
          <w:trHeight w:val="2116"/>
        </w:trPr>
        <w:tc>
          <w:tcPr>
            <w:tcW w:w="1985" w:type="dxa"/>
            <w:vMerge/>
            <w:tcMar/>
          </w:tcPr>
          <w:p w:rsidR="005454CF" w:rsidP="004709C1" w:rsidRDefault="005454CF" w14:paraId="5997CC1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Pr="005454CF" w:rsidR="005454CF" w:rsidP="005454CF" w:rsidRDefault="005454CF" w14:paraId="420784A6" wp14:textId="77777777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5454CF">
              <w:rPr>
                <w:color w:val="000000"/>
                <w:sz w:val="18"/>
                <w:szCs w:val="18"/>
                <w:shd w:val="clear" w:color="auto" w:fill="FFFFFF"/>
              </w:rPr>
              <w:t xml:space="preserve">U01 </w:t>
            </w:r>
            <w:r w:rsidRPr="005454CF">
              <w:rPr>
                <w:rFonts w:cs="Arial"/>
                <w:color w:val="000000"/>
                <w:sz w:val="18"/>
                <w:szCs w:val="18"/>
                <w:shd w:val="clear" w:color="auto" w:fill="FFFFFF"/>
              </w:rPr>
              <w:t>–</w:t>
            </w:r>
            <w:r w:rsidRPr="005454CF">
              <w:rPr>
                <w:color w:val="000000"/>
                <w:sz w:val="18"/>
                <w:szCs w:val="18"/>
                <w:shd w:val="clear" w:color="auto" w:fill="FFFFFF"/>
              </w:rPr>
              <w:t xml:space="preserve"> potrafi selekcjonować zjawiska kulturowe, wyodrębniać regularności i wzory kulturowe</w:t>
            </w:r>
          </w:p>
          <w:p w:rsidRPr="005454CF" w:rsidR="005454CF" w:rsidP="005454CF" w:rsidRDefault="005454CF" w14:paraId="110FFD37" wp14:textId="77777777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</w:p>
          <w:p w:rsidR="005454CF" w:rsidP="005454CF" w:rsidRDefault="005454CF" w14:paraId="2B2D15E2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5454CF">
              <w:rPr>
                <w:rFonts w:cs="Arial"/>
                <w:color w:val="000000"/>
                <w:sz w:val="18"/>
                <w:szCs w:val="18"/>
              </w:rPr>
              <w:t>U02 – s</w:t>
            </w:r>
            <w:r w:rsidRPr="005454CF">
              <w:rPr>
                <w:color w:val="000000"/>
                <w:sz w:val="18"/>
                <w:szCs w:val="18"/>
              </w:rPr>
              <w:t>amodzielnie interpretuje tekst z zakresu antropologii, poddaje argumentowanej krytyce zawarte w nim tezy, potrafi jasno komunikować swoje poglądy, konfrontując je z poglądami kolegów.</w:t>
            </w:r>
            <w:r w:rsidRPr="005454CF">
              <w:rPr>
                <w:sz w:val="18"/>
                <w:szCs w:val="18"/>
              </w:rPr>
              <w:br/>
            </w:r>
            <w:r w:rsidRPr="005454CF">
              <w:rPr>
                <w:sz w:val="18"/>
                <w:szCs w:val="18"/>
              </w:rPr>
              <w:br/>
            </w:r>
            <w:r w:rsidRPr="005454CF">
              <w:rPr>
                <w:color w:val="000000"/>
                <w:sz w:val="18"/>
                <w:szCs w:val="18"/>
              </w:rPr>
              <w:t>U11 – rozwija postawę krytyczną w odniesieniu do zastanych zjawisk kulturowych, demonstruje rozumienie kluczowych mechanizmów rządzących światem kultury</w:t>
            </w:r>
            <w:r w:rsidRPr="005454CF">
              <w:rPr>
                <w:sz w:val="18"/>
                <w:szCs w:val="18"/>
              </w:rPr>
              <w:br/>
            </w:r>
            <w:r w:rsidRPr="005454CF">
              <w:rPr>
                <w:sz w:val="18"/>
                <w:szCs w:val="18"/>
              </w:rPr>
              <w:br/>
            </w:r>
            <w:r w:rsidRPr="005454CF">
              <w:rPr>
                <w:color w:val="000000"/>
                <w:sz w:val="18"/>
                <w:szCs w:val="18"/>
              </w:rPr>
              <w:t>U13 – wykazuje rozumienie problemów etycznych związanych z badaniem antropologicznym; potrafi ukazać założenia stereotypów kulturowych, rasowych i płciowych oraz wyciągnąć wnioski dotyczące ich konsekwencji dla kultury i społeczeństwa.</w:t>
            </w:r>
          </w:p>
        </w:tc>
        <w:tc>
          <w:tcPr>
            <w:tcW w:w="2410" w:type="dxa"/>
            <w:tcMar/>
          </w:tcPr>
          <w:p w:rsidRPr="00357196" w:rsidR="005454CF" w:rsidP="005454CF" w:rsidRDefault="005454CF" w14:paraId="549BF529" wp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</w:t>
            </w:r>
            <w:r w:rsidRPr="00357196">
              <w:rPr>
                <w:rFonts w:ascii="Calibri" w:hAnsi="Calibri"/>
                <w:color w:val="000000"/>
                <w:sz w:val="18"/>
                <w:szCs w:val="18"/>
              </w:rPr>
              <w:t xml:space="preserve">_U01 </w:t>
            </w:r>
          </w:p>
          <w:p w:rsidRPr="00357196" w:rsidR="005454CF" w:rsidP="005454CF" w:rsidRDefault="005454CF" w14:paraId="6B699379" wp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Pr="00357196" w:rsidR="005454CF" w:rsidP="005454CF" w:rsidRDefault="005454CF" w14:paraId="3FE9F23F" wp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Pr="00357196" w:rsidR="005454CF" w:rsidP="005454CF" w:rsidRDefault="005454CF" w14:paraId="57FAD144" wp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</w:t>
            </w:r>
            <w:r w:rsidRPr="00357196">
              <w:rPr>
                <w:rFonts w:ascii="Calibri" w:hAnsi="Calibri"/>
                <w:color w:val="000000"/>
                <w:sz w:val="18"/>
                <w:szCs w:val="18"/>
              </w:rPr>
              <w:t>_U0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9</w:t>
            </w:r>
          </w:p>
          <w:p w:rsidRPr="00357196" w:rsidR="005454CF" w:rsidP="005454CF" w:rsidRDefault="005454CF" w14:paraId="6081B9D5" wp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</w:t>
            </w:r>
            <w:r w:rsidRPr="00357196">
              <w:rPr>
                <w:rFonts w:ascii="Calibri" w:hAnsi="Calibri"/>
                <w:color w:val="000000"/>
                <w:sz w:val="18"/>
                <w:szCs w:val="18"/>
              </w:rPr>
              <w:t>_U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12</w:t>
            </w:r>
            <w:r w:rsidRPr="00357196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K</w:t>
            </w:r>
            <w:r w:rsidRPr="00357196">
              <w:rPr>
                <w:rFonts w:ascii="Calibri" w:hAnsi="Calibri"/>
                <w:color w:val="000000"/>
                <w:sz w:val="18"/>
                <w:szCs w:val="18"/>
              </w:rPr>
              <w:t>_U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13</w:t>
            </w:r>
          </w:p>
          <w:p w:rsidRPr="00357196" w:rsidR="005454CF" w:rsidP="005454CF" w:rsidRDefault="005454CF" w14:paraId="1F72F646" wp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="005454CF" w:rsidP="005454CF" w:rsidRDefault="005454CF" w14:paraId="6CB8C336" wp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K_</w:t>
            </w:r>
            <w:r w:rsidRPr="00357196">
              <w:rPr>
                <w:rFonts w:ascii="Calibri" w:hAnsi="Calibri"/>
                <w:color w:val="000000"/>
                <w:sz w:val="18"/>
                <w:szCs w:val="18"/>
              </w:rPr>
              <w:t xml:space="preserve"> U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12</w:t>
            </w:r>
          </w:p>
          <w:p w:rsidR="005454CF" w:rsidP="005454CF" w:rsidRDefault="005454CF" w14:paraId="3962C341" wp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K_</w:t>
            </w:r>
            <w:r w:rsidRPr="00357196">
              <w:rPr>
                <w:rFonts w:ascii="Calibri" w:hAnsi="Calibri"/>
                <w:color w:val="000000"/>
                <w:sz w:val="18"/>
                <w:szCs w:val="18"/>
              </w:rPr>
              <w:t xml:space="preserve"> U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08</w:t>
            </w:r>
          </w:p>
          <w:p w:rsidRPr="00357196" w:rsidR="005454CF" w:rsidP="005454CF" w:rsidRDefault="005454CF" w14:paraId="08CE6F91" wp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Pr="00357196" w:rsidR="005454CF" w:rsidP="005454CF" w:rsidRDefault="005454CF" w14:paraId="61CDCEAD" wp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Pr="00357196" w:rsidR="005454CF" w:rsidP="005454CF" w:rsidRDefault="005454CF" w14:paraId="6E723246" wp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K_U05</w:t>
            </w:r>
          </w:p>
          <w:p w:rsidR="005454CF" w:rsidP="005454CF" w:rsidRDefault="005454CF" w14:paraId="2A4E307F" wp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K_U03</w:t>
            </w:r>
          </w:p>
          <w:p w:rsidR="005454CF" w:rsidP="004709C1" w:rsidRDefault="005454CF" w14:paraId="17B67F8B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K_U12</w:t>
            </w:r>
          </w:p>
        </w:tc>
      </w:tr>
    </w:tbl>
    <w:p xmlns:wp14="http://schemas.microsoft.com/office/word/2010/wordml" w:rsidRPr="00357196" w:rsidR="000167D5" w:rsidRDefault="000167D5" w14:paraId="6BB9E253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xmlns:wp14="http://schemas.microsoft.com/office/word/2010/wordml" w:rsidRPr="00357196" w:rsidR="000167D5" w:rsidTr="254EA77C" w14:paraId="2196DA88" wp14:textId="77777777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Pr="00357196" w:rsidR="000167D5" w:rsidRDefault="000167D5" w14:paraId="2C1ECD84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196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Pr="00357196" w:rsidR="000167D5" w:rsidRDefault="000167D5" w14:paraId="570445C1" wp14:textId="7BECCF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254EA77C" w:rsidR="000167D5">
              <w:rPr>
                <w:rFonts w:ascii="Arial" w:hAnsi="Arial" w:cs="Arial"/>
                <w:sz w:val="18"/>
                <w:szCs w:val="18"/>
              </w:rPr>
              <w:t xml:space="preserve">Efekt </w:t>
            </w:r>
            <w:r w:rsidRPr="254EA77C" w:rsidR="2CE6554E">
              <w:rPr>
                <w:rFonts w:ascii="Arial" w:hAnsi="Arial" w:cs="Arial"/>
                <w:sz w:val="18"/>
                <w:szCs w:val="18"/>
              </w:rPr>
              <w:t>ucz</w:t>
            </w:r>
            <w:r w:rsidRPr="254EA77C" w:rsidR="000167D5">
              <w:rPr>
                <w:rFonts w:ascii="Arial" w:hAnsi="Arial" w:cs="Arial"/>
                <w:sz w:val="18"/>
                <w:szCs w:val="18"/>
              </w:rPr>
              <w:t>enia</w:t>
            </w:r>
            <w:r w:rsidRPr="254EA77C" w:rsidR="5ED3D3EB">
              <w:rPr>
                <w:rFonts w:ascii="Arial" w:hAnsi="Arial" w:cs="Arial"/>
                <w:sz w:val="18"/>
                <w:szCs w:val="18"/>
              </w:rPr>
              <w:t xml:space="preserve"> się</w:t>
            </w:r>
            <w:r w:rsidRPr="254EA77C" w:rsidR="000167D5">
              <w:rPr>
                <w:rFonts w:ascii="Arial" w:hAnsi="Arial" w:cs="Arial"/>
                <w:sz w:val="18"/>
                <w:szCs w:val="18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Pr="00357196" w:rsidR="000167D5" w:rsidRDefault="000167D5" w14:paraId="45E9F00B" wp14:textId="77777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7196">
              <w:rPr>
                <w:rFonts w:ascii="Arial" w:hAnsi="Arial" w:cs="Arial"/>
                <w:sz w:val="18"/>
                <w:szCs w:val="18"/>
              </w:rPr>
              <w:t>Odniesienie do efektów kierunkowych</w:t>
            </w:r>
          </w:p>
        </w:tc>
      </w:tr>
      <w:tr xmlns:wp14="http://schemas.microsoft.com/office/word/2010/wordml" w:rsidRPr="00357196" w:rsidR="000167D5" w:rsidTr="254EA77C" w14:paraId="413A6426" wp14:textId="77777777">
        <w:tblPrEx>
          <w:tblCellMar>
            <w:top w:w="0" w:type="dxa"/>
            <w:bottom w:w="0" w:type="dxa"/>
          </w:tblCellMar>
        </w:tblPrEx>
        <w:trPr>
          <w:cantSplit/>
          <w:trHeight w:val="1984"/>
        </w:trPr>
        <w:tc>
          <w:tcPr>
            <w:tcW w:w="1985" w:type="dxa"/>
            <w:vMerge/>
            <w:tcMar/>
          </w:tcPr>
          <w:p w:rsidRPr="00357196" w:rsidR="000167D5" w:rsidRDefault="000167D5" w14:paraId="23DE523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B85D64" w:rsidRDefault="008B735C" w14:paraId="362CBD37" wp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357196">
              <w:rPr>
                <w:rFonts w:ascii="Calibri" w:hAnsi="Calibri"/>
                <w:color w:val="000000"/>
                <w:sz w:val="18"/>
                <w:szCs w:val="18"/>
              </w:rPr>
              <w:t>K0</w:t>
            </w:r>
            <w:r w:rsidR="00501074"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  <w:r w:rsidR="002F35B4">
              <w:rPr>
                <w:rFonts w:ascii="Calibri" w:hAnsi="Calibri"/>
                <w:color w:val="000000"/>
                <w:sz w:val="18"/>
                <w:szCs w:val="18"/>
              </w:rPr>
              <w:t xml:space="preserve"> – o</w:t>
            </w:r>
            <w:r w:rsidRPr="00357196">
              <w:rPr>
                <w:rFonts w:ascii="Calibri" w:hAnsi="Calibri"/>
                <w:color w:val="000000"/>
                <w:sz w:val="18"/>
                <w:szCs w:val="18"/>
              </w:rPr>
              <w:t xml:space="preserve">rganizuje </w:t>
            </w:r>
            <w:r w:rsidR="00F52C6A">
              <w:rPr>
                <w:rFonts w:ascii="Calibri" w:hAnsi="Calibri"/>
                <w:color w:val="000000"/>
                <w:sz w:val="18"/>
                <w:szCs w:val="18"/>
              </w:rPr>
              <w:t xml:space="preserve">swoją </w:t>
            </w:r>
            <w:r w:rsidRPr="00357196">
              <w:rPr>
                <w:rFonts w:ascii="Calibri" w:hAnsi="Calibri"/>
                <w:color w:val="000000"/>
                <w:sz w:val="18"/>
                <w:szCs w:val="18"/>
              </w:rPr>
              <w:t>pracę, ustala hierarchię ważności jej poszczególnych elementów, konsekwentnie dąży do celu</w:t>
            </w:r>
            <w:r w:rsidRPr="00357196">
              <w:rPr>
                <w:sz w:val="18"/>
                <w:szCs w:val="18"/>
              </w:rPr>
              <w:br/>
            </w:r>
            <w:r w:rsidRPr="00357196">
              <w:rPr>
                <w:sz w:val="18"/>
                <w:szCs w:val="18"/>
              </w:rPr>
              <w:br/>
            </w:r>
            <w:r w:rsidRPr="00357196">
              <w:rPr>
                <w:rFonts w:ascii="Calibri" w:hAnsi="Calibri"/>
                <w:color w:val="000000"/>
                <w:sz w:val="18"/>
                <w:szCs w:val="18"/>
              </w:rPr>
              <w:t>K0</w:t>
            </w:r>
            <w:r w:rsidR="00501074">
              <w:rPr>
                <w:rFonts w:ascii="Calibri" w:hAnsi="Calibri"/>
                <w:color w:val="000000"/>
                <w:sz w:val="18"/>
                <w:szCs w:val="18"/>
              </w:rPr>
              <w:t>2</w:t>
            </w:r>
            <w:r w:rsidRPr="00357196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r w:rsidR="009B5881">
              <w:rPr>
                <w:rFonts w:ascii="Calibri" w:hAnsi="Calibri"/>
                <w:color w:val="000000"/>
                <w:sz w:val="18"/>
                <w:szCs w:val="18"/>
              </w:rPr>
              <w:t>– w</w:t>
            </w:r>
            <w:r w:rsidRPr="00357196">
              <w:rPr>
                <w:rFonts w:ascii="Calibri" w:hAnsi="Calibri"/>
                <w:color w:val="000000"/>
                <w:sz w:val="18"/>
                <w:szCs w:val="18"/>
              </w:rPr>
              <w:t>ykazuje się tolerancją wobec innych kultur, ras i płci, akceptuje inność i prawo do inności; uświadamia ograniczenia postawy etnocentrycznej</w:t>
            </w:r>
          </w:p>
          <w:p w:rsidR="00501074" w:rsidRDefault="00501074" w14:paraId="52E56223" wp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="00501074" w:rsidRDefault="008B735C" w14:paraId="585AED73" wp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357196">
              <w:rPr>
                <w:rFonts w:ascii="Calibri" w:hAnsi="Calibri"/>
                <w:color w:val="000000"/>
                <w:sz w:val="18"/>
                <w:szCs w:val="18"/>
              </w:rPr>
              <w:t>K0</w:t>
            </w:r>
            <w:r w:rsidR="00501074">
              <w:rPr>
                <w:rFonts w:ascii="Calibri" w:hAnsi="Calibri"/>
                <w:color w:val="000000"/>
                <w:sz w:val="18"/>
                <w:szCs w:val="18"/>
              </w:rPr>
              <w:t>3</w:t>
            </w:r>
            <w:r w:rsidRPr="00357196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r w:rsidR="00B85D64">
              <w:rPr>
                <w:rFonts w:ascii="Calibri" w:hAnsi="Calibri"/>
                <w:color w:val="000000"/>
                <w:sz w:val="18"/>
                <w:szCs w:val="18"/>
              </w:rPr>
              <w:t>– w</w:t>
            </w:r>
            <w:r w:rsidRPr="00357196">
              <w:rPr>
                <w:rFonts w:ascii="Calibri" w:hAnsi="Calibri"/>
                <w:color w:val="000000"/>
                <w:sz w:val="18"/>
                <w:szCs w:val="18"/>
              </w:rPr>
              <w:t xml:space="preserve"> sposób dojrzały i krytyczny potrafi ocenić </w:t>
            </w:r>
            <w:r w:rsidRPr="00357196" w:rsidR="0020459C">
              <w:rPr>
                <w:rFonts w:ascii="Calibri" w:hAnsi="Calibri"/>
                <w:color w:val="000000"/>
                <w:sz w:val="18"/>
                <w:szCs w:val="18"/>
              </w:rPr>
              <w:t xml:space="preserve">dziedzictwo </w:t>
            </w:r>
            <w:r w:rsidRPr="00357196">
              <w:rPr>
                <w:rFonts w:ascii="Calibri" w:hAnsi="Calibri"/>
                <w:color w:val="000000"/>
                <w:sz w:val="18"/>
                <w:szCs w:val="18"/>
              </w:rPr>
              <w:t>ojczystej kultury, pielęgnuje w niej to, co najlepsze</w:t>
            </w:r>
            <w:r w:rsidR="00501074">
              <w:rPr>
                <w:rFonts w:ascii="Calibri" w:hAnsi="Calibri"/>
                <w:color w:val="000000"/>
                <w:sz w:val="18"/>
                <w:szCs w:val="18"/>
              </w:rPr>
              <w:t xml:space="preserve">; </w:t>
            </w:r>
            <w:r w:rsidRPr="00357196" w:rsidR="00501074">
              <w:rPr>
                <w:rFonts w:ascii="Calibri" w:hAnsi="Calibri"/>
                <w:color w:val="000000"/>
                <w:sz w:val="18"/>
                <w:szCs w:val="18"/>
              </w:rPr>
              <w:t>bierze z otaczającej go oferty kulturowej to, co najbardziej wartościowe, rozpoznaje zagrożenia</w:t>
            </w:r>
            <w:r w:rsidR="00501074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  <w:p w:rsidRPr="00357196" w:rsidR="000167D5" w:rsidRDefault="008B735C" w14:paraId="7E40E8EA" wp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357196">
              <w:rPr>
                <w:sz w:val="18"/>
                <w:szCs w:val="18"/>
              </w:rPr>
              <w:br/>
            </w:r>
            <w:r w:rsidRPr="00357196">
              <w:rPr>
                <w:rFonts w:ascii="Calibri" w:hAnsi="Calibri"/>
                <w:color w:val="000000"/>
                <w:sz w:val="18"/>
                <w:szCs w:val="18"/>
              </w:rPr>
              <w:t>K0</w:t>
            </w:r>
            <w:r w:rsidR="00501074">
              <w:rPr>
                <w:rFonts w:ascii="Calibri" w:hAnsi="Calibri"/>
                <w:color w:val="000000"/>
                <w:sz w:val="18"/>
                <w:szCs w:val="18"/>
              </w:rPr>
              <w:t>5</w:t>
            </w:r>
            <w:r w:rsidRPr="00357196">
              <w:rPr>
                <w:rFonts w:ascii="Calibri" w:hAnsi="Calibri"/>
                <w:color w:val="000000"/>
                <w:sz w:val="18"/>
                <w:szCs w:val="18"/>
              </w:rPr>
              <w:t xml:space="preserve"> – kształtuje w sobie postawę otwartości na nową wiedzę, zainteresowanie wobec zjawisk niezbadanych, zdolność i potrzebę istotnych uogólnień </w:t>
            </w:r>
            <w:r w:rsidRPr="00357196">
              <w:rPr>
                <w:sz w:val="18"/>
                <w:szCs w:val="18"/>
              </w:rPr>
              <w:br/>
            </w:r>
            <w:r w:rsidRPr="00357196">
              <w:rPr>
                <w:sz w:val="18"/>
                <w:szCs w:val="18"/>
              </w:rPr>
              <w:br/>
            </w:r>
            <w:r w:rsidR="00221B04">
              <w:rPr>
                <w:sz w:val="18"/>
                <w:szCs w:val="18"/>
              </w:rPr>
              <w:t>K</w:t>
            </w:r>
            <w:r w:rsidR="00501074">
              <w:rPr>
                <w:sz w:val="18"/>
                <w:szCs w:val="18"/>
              </w:rPr>
              <w:t>06</w:t>
            </w:r>
            <w:r w:rsidR="00221B04">
              <w:rPr>
                <w:sz w:val="18"/>
                <w:szCs w:val="18"/>
              </w:rPr>
              <w:t xml:space="preserve"> – </w:t>
            </w:r>
            <w:r w:rsidR="00221B04">
              <w:rPr>
                <w:rFonts w:ascii="Calibri" w:hAnsi="Calibri"/>
                <w:color w:val="000000"/>
                <w:sz w:val="18"/>
                <w:szCs w:val="18"/>
              </w:rPr>
              <w:t>r</w:t>
            </w:r>
            <w:r w:rsidRPr="00357196">
              <w:rPr>
                <w:rFonts w:ascii="Calibri" w:hAnsi="Calibri"/>
                <w:color w:val="000000"/>
                <w:sz w:val="18"/>
                <w:szCs w:val="18"/>
              </w:rPr>
              <w:t xml:space="preserve">ozwija </w:t>
            </w:r>
            <w:r w:rsidR="004F4941">
              <w:rPr>
                <w:rFonts w:ascii="Calibri" w:hAnsi="Calibri"/>
                <w:color w:val="000000"/>
                <w:sz w:val="18"/>
                <w:szCs w:val="18"/>
              </w:rPr>
              <w:t xml:space="preserve">wrażliwość i </w:t>
            </w:r>
            <w:r w:rsidRPr="00357196">
              <w:rPr>
                <w:rFonts w:ascii="Calibri" w:hAnsi="Calibri"/>
                <w:color w:val="000000"/>
                <w:sz w:val="18"/>
                <w:szCs w:val="18"/>
              </w:rPr>
              <w:t xml:space="preserve">wyobraźnię </w:t>
            </w:r>
            <w:r w:rsidR="004F4941">
              <w:rPr>
                <w:rFonts w:ascii="Calibri" w:hAnsi="Calibri"/>
                <w:color w:val="000000"/>
                <w:sz w:val="18"/>
                <w:szCs w:val="18"/>
              </w:rPr>
              <w:t xml:space="preserve">antropologiczną </w:t>
            </w:r>
            <w:r w:rsidRPr="00357196">
              <w:rPr>
                <w:rFonts w:ascii="Calibri" w:hAnsi="Calibri"/>
                <w:color w:val="000000"/>
                <w:sz w:val="18"/>
                <w:szCs w:val="18"/>
              </w:rPr>
              <w:t xml:space="preserve">jako metodę poznawczą, a także jako </w:t>
            </w:r>
            <w:r w:rsidRPr="00357196" w:rsidR="00357196">
              <w:rPr>
                <w:rFonts w:ascii="Calibri" w:hAnsi="Calibri"/>
                <w:color w:val="000000"/>
                <w:sz w:val="18"/>
                <w:szCs w:val="18"/>
              </w:rPr>
              <w:t>źródło</w:t>
            </w:r>
            <w:r w:rsidRPr="00357196">
              <w:rPr>
                <w:rFonts w:ascii="Calibri" w:hAnsi="Calibri"/>
                <w:color w:val="000000"/>
                <w:sz w:val="18"/>
                <w:szCs w:val="18"/>
              </w:rPr>
              <w:t xml:space="preserve"> inspiracji dla dalszych wysiłków intelektualnych. Umie racjonalnie analizować powstające problemy</w:t>
            </w:r>
          </w:p>
        </w:tc>
        <w:tc>
          <w:tcPr>
            <w:tcW w:w="2410" w:type="dxa"/>
            <w:shd w:val="clear" w:color="auto" w:fill="FFFFFF" w:themeFill="background1"/>
            <w:tcMar/>
          </w:tcPr>
          <w:p w:rsidRPr="00357196" w:rsidR="00F52C6A" w:rsidP="00F52C6A" w:rsidRDefault="00F52C6A" w14:paraId="46F63676" wp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</w:t>
            </w:r>
            <w:r w:rsidRPr="00357196">
              <w:rPr>
                <w:rFonts w:ascii="Calibri" w:hAnsi="Calibri"/>
                <w:color w:val="000000"/>
                <w:sz w:val="18"/>
                <w:szCs w:val="18"/>
              </w:rPr>
              <w:t>_K0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3</w:t>
            </w:r>
            <w:r w:rsidRPr="00357196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  <w:p w:rsidRPr="00357196" w:rsidR="008B735C" w:rsidRDefault="008B735C" w14:paraId="07547A01" wp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Pr="00357196" w:rsidR="008B735C" w:rsidRDefault="008B735C" w14:paraId="5043CB0F" wp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="00F61064" w:rsidP="005751BF" w:rsidRDefault="005751BF" w14:paraId="164EBD86" wp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</w:t>
            </w:r>
            <w:r w:rsidRPr="00357196">
              <w:rPr>
                <w:rFonts w:ascii="Calibri" w:hAnsi="Calibri"/>
                <w:color w:val="000000"/>
                <w:sz w:val="18"/>
                <w:szCs w:val="18"/>
              </w:rPr>
              <w:t>_K0</w:t>
            </w:r>
            <w:r w:rsidR="00F61064">
              <w:rPr>
                <w:rFonts w:ascii="Calibri" w:hAnsi="Calibri"/>
                <w:color w:val="000000"/>
                <w:sz w:val="18"/>
                <w:szCs w:val="18"/>
              </w:rPr>
              <w:t>4</w:t>
            </w:r>
            <w:r w:rsidR="00501074">
              <w:rPr>
                <w:rFonts w:ascii="Calibri" w:hAnsi="Calibri"/>
                <w:color w:val="000000"/>
                <w:sz w:val="18"/>
                <w:szCs w:val="18"/>
              </w:rPr>
              <w:t>,</w:t>
            </w:r>
          </w:p>
          <w:p w:rsidRPr="00357196" w:rsidR="005751BF" w:rsidP="005751BF" w:rsidRDefault="00F61064" w14:paraId="60B857D4" wp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K_K08</w:t>
            </w:r>
            <w:r w:rsidRPr="00357196" w:rsidR="005751BF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  <w:p w:rsidRPr="00357196" w:rsidR="008B735C" w:rsidRDefault="008B735C" w14:paraId="07459315" wp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="005454CF" w:rsidP="00B85D64" w:rsidRDefault="005454CF" w14:paraId="6537F28F" wp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="00B85D64" w:rsidP="00B85D64" w:rsidRDefault="00B85D64" w14:paraId="37643912" wp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</w:t>
            </w:r>
            <w:r w:rsidRPr="00357196">
              <w:rPr>
                <w:rFonts w:ascii="Calibri" w:hAnsi="Calibri"/>
                <w:color w:val="000000"/>
                <w:sz w:val="18"/>
                <w:szCs w:val="18"/>
              </w:rPr>
              <w:t>_K0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4</w:t>
            </w:r>
          </w:p>
          <w:p w:rsidRPr="00357196" w:rsidR="00B85D64" w:rsidP="00B85D64" w:rsidRDefault="00B85D64" w14:paraId="2E7BA871" wp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K_K08</w:t>
            </w:r>
            <w:r w:rsidRPr="00357196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  <w:p w:rsidRPr="00357196" w:rsidR="008B735C" w:rsidRDefault="008B735C" w14:paraId="6DFB9E20" wp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Pr="00357196" w:rsidR="008B735C" w:rsidRDefault="008B735C" w14:paraId="70DF9E56" wp14:textId="77777777">
            <w:pPr>
              <w:rPr>
                <w:rFonts w:ascii="Calibri" w:hAnsi="Calibri"/>
                <w:color w:val="000000"/>
                <w:sz w:val="18"/>
                <w:szCs w:val="18"/>
                <w:shd w:val="clear" w:color="auto" w:fill="FFFF00"/>
              </w:rPr>
            </w:pPr>
          </w:p>
          <w:p w:rsidR="005454CF" w:rsidP="00B75C40" w:rsidRDefault="005454CF" w14:paraId="44E871BC" wp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Pr="00357196" w:rsidR="00B75C40" w:rsidP="00B75C40" w:rsidRDefault="00B75C40" w14:paraId="21321263" wp14:textId="77777777">
            <w:pPr>
              <w:rPr>
                <w:rFonts w:ascii="Calibri" w:hAnsi="Calibri"/>
                <w:color w:val="000000"/>
                <w:sz w:val="18"/>
                <w:szCs w:val="18"/>
                <w:shd w:val="clear" w:color="auto" w:fill="FFFF00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</w:t>
            </w:r>
            <w:r w:rsidRPr="00357196">
              <w:rPr>
                <w:rFonts w:ascii="Calibri" w:hAnsi="Calibri"/>
                <w:color w:val="000000"/>
                <w:sz w:val="18"/>
                <w:szCs w:val="18"/>
              </w:rPr>
              <w:t>_K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12</w:t>
            </w:r>
            <w:r w:rsidRPr="00357196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  <w:p w:rsidRPr="00357196" w:rsidR="008B735C" w:rsidRDefault="008B735C" w14:paraId="144A5D23" wp14:textId="77777777">
            <w:pPr>
              <w:rPr>
                <w:rFonts w:ascii="Calibri" w:hAnsi="Calibri"/>
                <w:color w:val="000000"/>
                <w:sz w:val="18"/>
                <w:szCs w:val="18"/>
                <w:shd w:val="clear" w:color="auto" w:fill="FFFF00"/>
              </w:rPr>
            </w:pPr>
          </w:p>
          <w:p w:rsidRPr="00357196" w:rsidR="008B735C" w:rsidRDefault="008B735C" w14:paraId="738610EB" wp14:textId="77777777">
            <w:pPr>
              <w:rPr>
                <w:rFonts w:ascii="Calibri" w:hAnsi="Calibri"/>
                <w:color w:val="000000"/>
                <w:sz w:val="18"/>
                <w:szCs w:val="18"/>
                <w:shd w:val="clear" w:color="auto" w:fill="FFFF00"/>
              </w:rPr>
            </w:pPr>
          </w:p>
          <w:p w:rsidR="005454CF" w:rsidP="00501074" w:rsidRDefault="005454CF" w14:paraId="637805D2" wp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="00501074" w:rsidP="00501074" w:rsidRDefault="00501074" w14:paraId="621F473D" wp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K_K08</w:t>
            </w:r>
          </w:p>
          <w:p w:rsidR="00501074" w:rsidP="00501074" w:rsidRDefault="00501074" w14:paraId="7FD4D1F3" wp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K_K04</w:t>
            </w:r>
          </w:p>
          <w:p w:rsidRPr="00357196" w:rsidR="00D12C4C" w:rsidP="00846024" w:rsidRDefault="00501074" w14:paraId="5B2AA153" wp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K_K03</w:t>
            </w:r>
          </w:p>
        </w:tc>
      </w:tr>
    </w:tbl>
    <w:p xmlns:wp14="http://schemas.microsoft.com/office/word/2010/wordml" w:rsidRPr="00357196" w:rsidR="000167D5" w:rsidRDefault="000167D5" w14:paraId="463F29E8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Pr="00357196" w:rsidR="000167D5" w:rsidRDefault="000167D5" w14:paraId="3B7B4B86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Pr="00357196" w:rsidR="000167D5" w:rsidRDefault="000167D5" w14:paraId="3A0FF5F2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Pr="00357196" w:rsidR="000167D5" w:rsidRDefault="000167D5" w14:paraId="5630AD66" wp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xmlns:wp14="http://schemas.microsoft.com/office/word/2010/wordml" w:rsidRPr="00357196" w:rsidR="000167D5" w:rsidTr="254EA77C" w14:paraId="68A6B712" wp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357196" w:rsidR="000167D5" w:rsidRDefault="000167D5" w14:paraId="0AF261C4" wp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196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xmlns:wp14="http://schemas.microsoft.com/office/word/2010/wordml" w:rsidRPr="00357196" w:rsidR="000167D5" w:rsidTr="254EA77C" w14:paraId="4B150495" wp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tcMar/>
            <w:vAlign w:val="center"/>
          </w:tcPr>
          <w:p w:rsidRPr="00357196" w:rsidR="000167D5" w:rsidRDefault="000167D5" w14:paraId="0210DDE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196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Mar/>
            <w:vAlign w:val="center"/>
          </w:tcPr>
          <w:p w:rsidRPr="00357196" w:rsidR="000167D5" w:rsidRDefault="000167D5" w14:paraId="5FDC3BE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196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357196" w:rsidR="000167D5" w:rsidRDefault="000167D5" w14:paraId="34DCCE6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196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357196" w:rsidR="000167D5" w:rsidRDefault="000167D5" w14:paraId="63B3AB60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196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xmlns:wp14="http://schemas.microsoft.com/office/word/2010/wordml" w:rsidRPr="00357196" w:rsidR="000167D5" w:rsidTr="254EA77C" w14:paraId="53F2F122" wp14:textId="77777777">
        <w:trPr>
          <w:cantSplit/>
          <w:trHeight w:val="477"/>
        </w:trPr>
        <w:tc>
          <w:tcPr>
            <w:tcW w:w="1611" w:type="dxa"/>
            <w:vMerge/>
            <w:tcMar/>
            <w:vAlign w:val="center"/>
          </w:tcPr>
          <w:p w:rsidRPr="00357196" w:rsidR="000167D5" w:rsidRDefault="000167D5" w14:paraId="6182907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Mar/>
            <w:vAlign w:val="center"/>
          </w:tcPr>
          <w:p w:rsidRPr="00357196" w:rsidR="000167D5" w:rsidRDefault="000167D5" w14:paraId="2BA226A1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357196" w:rsidR="000167D5" w:rsidRDefault="000167D5" w14:paraId="5316D17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196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Mar/>
            <w:vAlign w:val="center"/>
          </w:tcPr>
          <w:p w:rsidRPr="00357196" w:rsidR="000167D5" w:rsidRDefault="000167D5" w14:paraId="17AD93B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Mar/>
            <w:vAlign w:val="center"/>
          </w:tcPr>
          <w:p w:rsidRPr="00357196" w:rsidR="000167D5" w:rsidRDefault="000167D5" w14:paraId="7336E69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196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Mar/>
            <w:vAlign w:val="center"/>
          </w:tcPr>
          <w:p w:rsidRPr="00357196" w:rsidR="000167D5" w:rsidRDefault="000167D5" w14:paraId="0DE4B5B7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Mar/>
            <w:vAlign w:val="center"/>
          </w:tcPr>
          <w:p w:rsidRPr="00357196" w:rsidR="000167D5" w:rsidRDefault="000167D5" w14:paraId="1FE9768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196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Mar/>
            <w:vAlign w:val="center"/>
          </w:tcPr>
          <w:p w:rsidRPr="00357196" w:rsidR="000167D5" w:rsidRDefault="000167D5" w14:paraId="66204FF1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/>
            <w:vAlign w:val="center"/>
          </w:tcPr>
          <w:p w:rsidRPr="00357196" w:rsidR="000167D5" w:rsidRDefault="000167D5" w14:paraId="066DDAA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196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Mar/>
            <w:vAlign w:val="center"/>
          </w:tcPr>
          <w:p w:rsidRPr="00357196" w:rsidR="000167D5" w:rsidRDefault="000167D5" w14:paraId="2DBF0D7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/>
            <w:vAlign w:val="center"/>
          </w:tcPr>
          <w:p w:rsidRPr="00357196" w:rsidR="000167D5" w:rsidRDefault="000167D5" w14:paraId="79E7D87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196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Mar/>
            <w:vAlign w:val="center"/>
          </w:tcPr>
          <w:p w:rsidRPr="00357196" w:rsidR="000167D5" w:rsidRDefault="000167D5" w14:paraId="6B62F1B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/>
            <w:vAlign w:val="center"/>
          </w:tcPr>
          <w:p w:rsidRPr="00357196" w:rsidR="000167D5" w:rsidRDefault="000167D5" w14:paraId="65AEDD9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196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Mar/>
            <w:vAlign w:val="center"/>
          </w:tcPr>
          <w:p w:rsidRPr="00357196" w:rsidR="000167D5" w:rsidRDefault="000167D5" w14:paraId="02F2C34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357196" w:rsidR="000167D5" w:rsidTr="254EA77C" w14:paraId="3CF6FD02" wp14:textId="77777777">
        <w:trPr>
          <w:trHeight w:val="499"/>
        </w:trPr>
        <w:tc>
          <w:tcPr>
            <w:tcW w:w="1611" w:type="dxa"/>
            <w:shd w:val="clear" w:color="auto" w:fill="DBE5F1"/>
            <w:tcMar/>
            <w:vAlign w:val="center"/>
          </w:tcPr>
          <w:p w:rsidRPr="00357196" w:rsidR="000167D5" w:rsidRDefault="000167D5" w14:paraId="6C32A60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196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Mar/>
            <w:vAlign w:val="center"/>
          </w:tcPr>
          <w:p w:rsidRPr="00357196" w:rsidR="000167D5" w:rsidRDefault="00E25377" w14:paraId="219897C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19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357196" w:rsidR="000167D5" w:rsidRDefault="00E25377" w14:paraId="60DA3216" wp14:textId="6109653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357196" w:rsidR="000167D5" w:rsidRDefault="000167D5" w14:paraId="680A4E5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Mar/>
            <w:vAlign w:val="center"/>
          </w:tcPr>
          <w:p w:rsidRPr="00357196" w:rsidR="000167D5" w:rsidRDefault="000167D5" w14:paraId="1921983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Pr="00357196" w:rsidR="000167D5" w:rsidRDefault="000167D5" w14:paraId="296FEF7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Pr="00357196" w:rsidR="000167D5" w:rsidRDefault="000167D5" w14:paraId="7194DBD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Pr="00357196" w:rsidR="000167D5" w:rsidRDefault="000167D5" w14:paraId="769D0D3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357196" w:rsidR="000167D5" w:rsidTr="254EA77C" w14:paraId="54CD245A" wp14:textId="77777777">
        <w:trPr>
          <w:trHeight w:val="462"/>
        </w:trPr>
        <w:tc>
          <w:tcPr>
            <w:tcW w:w="1611" w:type="dxa"/>
            <w:tcMar/>
            <w:vAlign w:val="center"/>
          </w:tcPr>
          <w:p w:rsidRPr="00357196" w:rsidR="000167D5" w:rsidRDefault="000167D5" w14:paraId="1231BE67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Mar/>
            <w:vAlign w:val="center"/>
          </w:tcPr>
          <w:p w:rsidRPr="00357196" w:rsidR="000167D5" w:rsidRDefault="000167D5" w14:paraId="36FEB5B0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357196" w:rsidR="000167D5" w:rsidRDefault="000167D5" w14:paraId="30D7AA6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357196" w:rsidR="000167D5" w:rsidRDefault="000167D5" w14:paraId="7196D064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Mar/>
            <w:vAlign w:val="center"/>
          </w:tcPr>
          <w:p w:rsidRPr="00357196" w:rsidR="000167D5" w:rsidRDefault="000167D5" w14:paraId="34FF1C9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Pr="00357196" w:rsidR="000167D5" w:rsidRDefault="000167D5" w14:paraId="6D072C0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Pr="00357196" w:rsidR="000167D5" w:rsidRDefault="000167D5" w14:paraId="48A2191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Pr="00357196" w:rsidR="000167D5" w:rsidRDefault="000167D5" w14:paraId="6BD18F9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357196" w:rsidR="000167D5" w:rsidRDefault="000167D5" w14:paraId="238601FE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Pr="00357196" w:rsidR="000167D5" w:rsidRDefault="000167D5" w14:paraId="0F3CABC7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Pr="00357196" w:rsidR="000167D5" w:rsidRDefault="000167D5" w14:paraId="2FEAC4CC" wp14:textId="77777777">
      <w:pPr>
        <w:rPr>
          <w:rFonts w:ascii="Arial" w:hAnsi="Arial" w:cs="Arial"/>
          <w:sz w:val="22"/>
          <w:szCs w:val="14"/>
        </w:rPr>
      </w:pPr>
      <w:r w:rsidRPr="00357196">
        <w:rPr>
          <w:rFonts w:ascii="Arial" w:hAnsi="Arial" w:cs="Arial"/>
          <w:sz w:val="22"/>
          <w:szCs w:val="14"/>
        </w:rPr>
        <w:t>Opis metod prowadzenia zajęć</w:t>
      </w:r>
    </w:p>
    <w:p xmlns:wp14="http://schemas.microsoft.com/office/word/2010/wordml" w:rsidRPr="00357196" w:rsidR="000167D5" w:rsidRDefault="000167D5" w14:paraId="5B08B5D1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Pr="00357196" w:rsidR="000167D5" w14:paraId="190737AC" wp14:textId="77777777">
        <w:tblPrEx>
          <w:tblCellMar>
            <w:top w:w="0" w:type="dxa"/>
            <w:bottom w:w="0" w:type="dxa"/>
          </w:tblCellMar>
        </w:tblPrEx>
        <w:trPr>
          <w:trHeight w:val="1920"/>
        </w:trPr>
        <w:tc>
          <w:tcPr>
            <w:tcW w:w="9622" w:type="dxa"/>
          </w:tcPr>
          <w:p w:rsidRPr="00357196" w:rsidR="00A47383" w:rsidRDefault="00A47383" w14:paraId="1CBA812A" wp14:textId="77777777">
            <w:pPr>
              <w:pStyle w:val="Zawartotabeli"/>
              <w:rPr>
                <w:rFonts w:ascii="Calibri" w:hAnsi="Calibri"/>
                <w:color w:val="000000"/>
                <w:sz w:val="18"/>
                <w:szCs w:val="18"/>
              </w:rPr>
            </w:pPr>
            <w:r w:rsidRPr="007A5657">
              <w:rPr>
                <w:rFonts w:ascii="Calibri" w:hAnsi="Calibri"/>
                <w:b/>
                <w:color w:val="000000"/>
                <w:sz w:val="18"/>
                <w:szCs w:val="18"/>
              </w:rPr>
              <w:t>Wykład</w:t>
            </w:r>
            <w:r w:rsidRPr="00357196">
              <w:rPr>
                <w:rFonts w:ascii="Calibri" w:hAnsi="Calibri"/>
                <w:color w:val="000000"/>
                <w:sz w:val="18"/>
                <w:szCs w:val="18"/>
              </w:rPr>
              <w:t xml:space="preserve"> z elementami konwersatorium, częściowo przy użyciu środków multimedialnych, koncentruje się głównie na zagadnieniach teoretycznych, w tym klasycznych i współczesnych nurtach antropologii kulturowej</w:t>
            </w:r>
          </w:p>
          <w:p w:rsidRPr="00357196" w:rsidR="000167D5" w:rsidRDefault="00A47383" w14:paraId="0B8425C5" wp14:textId="77777777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357196">
              <w:br/>
            </w:r>
            <w:r w:rsidRPr="00C621B1">
              <w:rPr>
                <w:rFonts w:ascii="Calibri" w:hAnsi="Calibri"/>
                <w:b/>
                <w:color w:val="000000"/>
                <w:sz w:val="18"/>
                <w:szCs w:val="18"/>
              </w:rPr>
              <w:t>Ćwiczenia</w:t>
            </w:r>
            <w:r w:rsidRPr="00357196">
              <w:rPr>
                <w:rFonts w:ascii="Calibri" w:hAnsi="Calibri"/>
                <w:color w:val="000000"/>
                <w:sz w:val="18"/>
                <w:szCs w:val="18"/>
              </w:rPr>
              <w:t xml:space="preserve"> skupiają się na poszczególnych kategoriach myślenia pierwotnego, strukturach i instytucjach  w społeczeństwach pierwotnych, wybranych zagadnieniach antropogenezy. </w:t>
            </w:r>
            <w:r w:rsidR="000A0758">
              <w:rPr>
                <w:rFonts w:ascii="Calibri" w:hAnsi="Calibri"/>
                <w:color w:val="000000"/>
                <w:sz w:val="18"/>
                <w:szCs w:val="18"/>
              </w:rPr>
              <w:t>Uczestnicy a</w:t>
            </w:r>
            <w:r w:rsidRPr="00357196">
              <w:rPr>
                <w:rFonts w:ascii="Calibri" w:hAnsi="Calibri"/>
                <w:color w:val="000000"/>
                <w:sz w:val="18"/>
                <w:szCs w:val="18"/>
              </w:rPr>
              <w:t>nalizują konkretne kultury</w:t>
            </w:r>
            <w:r w:rsidR="000A0758">
              <w:rPr>
                <w:rFonts w:ascii="Calibri" w:hAnsi="Calibri"/>
                <w:color w:val="000000"/>
                <w:sz w:val="18"/>
                <w:szCs w:val="18"/>
              </w:rPr>
              <w:t>,</w:t>
            </w:r>
            <w:r w:rsidRPr="00357196">
              <w:rPr>
                <w:rFonts w:ascii="Calibri" w:hAnsi="Calibri"/>
                <w:color w:val="000000"/>
                <w:sz w:val="18"/>
                <w:szCs w:val="18"/>
              </w:rPr>
              <w:t xml:space="preserve"> dostarczają rozmaitych przykładów etnograficznych. Zajęcie składa się ze wprowadzenia do tematu, przedstawienia sylwetek autorów czytanych tekstów, omawiania treści tekstów oraz prezentacji multimedialnej, będącej </w:t>
            </w:r>
            <w:r w:rsidR="00C45785">
              <w:rPr>
                <w:rFonts w:ascii="Calibri" w:hAnsi="Calibri"/>
                <w:color w:val="000000"/>
                <w:sz w:val="18"/>
                <w:szCs w:val="18"/>
              </w:rPr>
              <w:t xml:space="preserve">etnograficzną </w:t>
            </w:r>
            <w:r w:rsidRPr="00357196">
              <w:rPr>
                <w:rFonts w:ascii="Calibri" w:hAnsi="Calibri"/>
                <w:color w:val="000000"/>
                <w:sz w:val="18"/>
                <w:szCs w:val="18"/>
              </w:rPr>
              <w:t xml:space="preserve">ilustracją tematu zajęcia. </w:t>
            </w:r>
          </w:p>
        </w:tc>
      </w:tr>
    </w:tbl>
    <w:p xmlns:wp14="http://schemas.microsoft.com/office/word/2010/wordml" w:rsidRPr="00357196" w:rsidR="000167D5" w:rsidRDefault="000167D5" w14:paraId="16DEB4AB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Pr="00357196" w:rsidR="000167D5" w:rsidRDefault="000167D5" w14:paraId="0AD9C6F4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Pr="00357196" w:rsidR="000167D5" w:rsidRDefault="000167D5" w14:paraId="77B67CF7" wp14:textId="77777777">
      <w:pPr>
        <w:pStyle w:val="Zawartotabeli"/>
        <w:rPr>
          <w:rFonts w:ascii="Arial" w:hAnsi="Arial" w:cs="Arial"/>
          <w:sz w:val="22"/>
          <w:szCs w:val="16"/>
        </w:rPr>
      </w:pPr>
      <w:r w:rsidRPr="00357196">
        <w:rPr>
          <w:rFonts w:ascii="Arial" w:hAnsi="Arial" w:cs="Arial"/>
          <w:sz w:val="22"/>
          <w:szCs w:val="16"/>
        </w:rPr>
        <w:t>Formy sprawdzania efektów kształcenia</w:t>
      </w:r>
    </w:p>
    <w:p xmlns:wp14="http://schemas.microsoft.com/office/word/2010/wordml" w:rsidRPr="00357196" w:rsidR="000167D5" w:rsidRDefault="000167D5" w14:paraId="4B1F511A" wp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xmlns:wp14="http://schemas.microsoft.com/office/word/2010/wordml" w:rsidRPr="00357196" w:rsidR="000167D5" w14:paraId="4D1153E2" wp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357196" w:rsidR="000167D5" w:rsidRDefault="000167D5" w14:paraId="65F9C3DC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357196" w:rsidR="000167D5" w:rsidRDefault="000167D5" w14:paraId="79904866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196">
              <w:rPr>
                <w:rFonts w:ascii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357196" w:rsidR="000167D5" w:rsidRDefault="000167D5" w14:paraId="2C8172CC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196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357196" w:rsidR="000167D5" w:rsidRDefault="000167D5" w14:paraId="4CF9D9E9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196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357196" w:rsidR="000167D5" w:rsidRDefault="000167D5" w14:paraId="6C251738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196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357196" w:rsidR="000167D5" w:rsidRDefault="000167D5" w14:paraId="2F7C2B3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196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357196" w:rsidR="000167D5" w:rsidRDefault="000167D5" w14:paraId="42402A3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196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357196" w:rsidR="000167D5" w:rsidRDefault="000167D5" w14:paraId="10D266B5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196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357196" w:rsidR="000167D5" w:rsidRDefault="000167D5" w14:paraId="4B3A8CE4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196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Pr="00357196" w:rsidR="000167D5" w:rsidRDefault="000167D5" w14:paraId="2E897B1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196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Pr="00357196" w:rsidR="000167D5" w:rsidRDefault="000167D5" w14:paraId="2148EF63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196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357196" w:rsidR="000167D5" w:rsidRDefault="000167D5" w14:paraId="354DF962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196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357196" w:rsidR="000167D5" w:rsidRDefault="000167D5" w14:paraId="5C5CF913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196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357196" w:rsidR="000167D5" w:rsidRDefault="000167D5" w14:paraId="229D7D00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196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xmlns:wp14="http://schemas.microsoft.com/office/word/2010/wordml" w:rsidRPr="00357196" w:rsidR="000167D5" w14:paraId="2D72330C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357196" w:rsidR="000167D5" w:rsidRDefault="000167D5" w14:paraId="262F74AA" wp14:textId="77777777">
            <w:pPr>
              <w:pStyle w:val="BalloonTex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196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5023141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1F3B140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562C75D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664355A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1A96511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7DF4E37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44FB30F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A441BA" w14:paraId="1D9616CD" wp14:textId="77777777">
            <w:pPr>
              <w:rPr>
                <w:rFonts w:ascii="Arial" w:hAnsi="Arial" w:cs="Arial"/>
                <w:sz w:val="22"/>
              </w:rPr>
            </w:pPr>
            <w:r w:rsidRPr="00357196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357196" w:rsidR="000167D5" w:rsidRDefault="000167D5" w14:paraId="1DA6542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Pr="00357196" w:rsidR="000167D5" w:rsidRDefault="000167D5" w14:paraId="3041E39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722B00A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A441BA" w14:paraId="71933DB0" wp14:textId="77777777">
            <w:pPr>
              <w:rPr>
                <w:rFonts w:ascii="Arial" w:hAnsi="Arial" w:cs="Arial"/>
                <w:sz w:val="22"/>
              </w:rPr>
            </w:pPr>
            <w:r w:rsidRPr="00357196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357196" w:rsidR="000167D5" w:rsidRDefault="00A441BA" w14:paraId="0F9B2D4E" wp14:textId="77777777">
            <w:pPr>
              <w:rPr>
                <w:rFonts w:ascii="Arial" w:hAnsi="Arial" w:cs="Arial"/>
                <w:sz w:val="22"/>
              </w:rPr>
            </w:pPr>
            <w:r w:rsidRPr="00357196">
              <w:rPr>
                <w:rFonts w:ascii="Arial" w:hAnsi="Arial" w:cs="Arial"/>
                <w:sz w:val="22"/>
              </w:rPr>
              <w:t>+</w:t>
            </w:r>
          </w:p>
        </w:tc>
      </w:tr>
      <w:tr xmlns:wp14="http://schemas.microsoft.com/office/word/2010/wordml" w:rsidRPr="00357196" w:rsidR="000167D5" w14:paraId="45A3753F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357196" w:rsidR="000167D5" w:rsidRDefault="000167D5" w14:paraId="5CBA545D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196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42C6D79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6E1831B3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54E11D2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31126E5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2DE403A5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62431CD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49E398E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A441BA" w14:paraId="4B9B05D7" wp14:textId="77777777">
            <w:pPr>
              <w:rPr>
                <w:rFonts w:ascii="Arial" w:hAnsi="Arial" w:cs="Arial"/>
                <w:sz w:val="22"/>
              </w:rPr>
            </w:pPr>
            <w:r w:rsidRPr="00357196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357196" w:rsidR="000167D5" w:rsidRDefault="000167D5" w14:paraId="16287F2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Pr="00357196" w:rsidR="000167D5" w:rsidRDefault="000167D5" w14:paraId="5BE93A6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384BA73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A441BA" w14:paraId="57C9F952" wp14:textId="77777777">
            <w:pPr>
              <w:rPr>
                <w:rFonts w:ascii="Arial" w:hAnsi="Arial" w:cs="Arial"/>
                <w:sz w:val="22"/>
              </w:rPr>
            </w:pPr>
            <w:r w:rsidRPr="00357196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357196" w:rsidR="000167D5" w:rsidRDefault="00A441BA" w14:paraId="706A5F31" wp14:textId="77777777">
            <w:pPr>
              <w:rPr>
                <w:rFonts w:ascii="Arial" w:hAnsi="Arial" w:cs="Arial"/>
                <w:sz w:val="22"/>
              </w:rPr>
            </w:pPr>
            <w:r w:rsidRPr="00357196">
              <w:rPr>
                <w:rFonts w:ascii="Arial" w:hAnsi="Arial" w:cs="Arial"/>
                <w:sz w:val="22"/>
              </w:rPr>
              <w:t>+</w:t>
            </w:r>
          </w:p>
        </w:tc>
      </w:tr>
      <w:tr xmlns:wp14="http://schemas.microsoft.com/office/word/2010/wordml" w:rsidRPr="00357196" w:rsidR="000167D5" w14:paraId="2786B084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357196" w:rsidR="000167D5" w:rsidRDefault="000167D5" w14:paraId="01A6CC39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196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34B3F2E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7D34F5C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0B4020A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1D7B270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4F904CB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06971CD3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2A1F701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A441BA" w14:paraId="4AD57E7D" wp14:textId="77777777">
            <w:pPr>
              <w:rPr>
                <w:rFonts w:ascii="Arial" w:hAnsi="Arial" w:cs="Arial"/>
                <w:sz w:val="22"/>
              </w:rPr>
            </w:pPr>
            <w:r w:rsidRPr="00357196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357196" w:rsidR="000167D5" w:rsidRDefault="000167D5" w14:paraId="03EFCA4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Pr="00357196" w:rsidR="000167D5" w:rsidRDefault="000167D5" w14:paraId="5F96A72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5B95CD1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A441BA" w14:paraId="55326C03" wp14:textId="77777777">
            <w:pPr>
              <w:rPr>
                <w:rFonts w:ascii="Arial" w:hAnsi="Arial" w:cs="Arial"/>
                <w:sz w:val="22"/>
              </w:rPr>
            </w:pPr>
            <w:r w:rsidRPr="00357196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357196" w:rsidR="000167D5" w:rsidRDefault="00A441BA" w14:paraId="4838AA3E" wp14:textId="77777777">
            <w:pPr>
              <w:rPr>
                <w:rFonts w:ascii="Arial" w:hAnsi="Arial" w:cs="Arial"/>
                <w:sz w:val="22"/>
              </w:rPr>
            </w:pPr>
            <w:r w:rsidRPr="00357196">
              <w:rPr>
                <w:rFonts w:ascii="Arial" w:hAnsi="Arial" w:cs="Arial"/>
                <w:sz w:val="22"/>
              </w:rPr>
              <w:t>+</w:t>
            </w:r>
          </w:p>
        </w:tc>
      </w:tr>
      <w:tr xmlns:wp14="http://schemas.microsoft.com/office/word/2010/wordml" w:rsidRPr="00357196" w:rsidR="000167D5" w14:paraId="73323086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357196" w:rsidR="000167D5" w:rsidRDefault="000167D5" w14:paraId="301A72B7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196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5220BBB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13CB595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6D9C8D3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675E05E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2FC17F8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0A4F722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5AE48A43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A441BA" w14:paraId="04294D7D" wp14:textId="77777777">
            <w:pPr>
              <w:rPr>
                <w:rFonts w:ascii="Arial" w:hAnsi="Arial" w:cs="Arial"/>
                <w:sz w:val="22"/>
              </w:rPr>
            </w:pPr>
            <w:r w:rsidRPr="00357196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357196" w:rsidR="000167D5" w:rsidRDefault="000167D5" w14:paraId="50F40DE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Pr="00357196" w:rsidR="000167D5" w:rsidRDefault="000167D5" w14:paraId="77A5229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007DCDA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A441BA" w14:paraId="43EABB07" wp14:textId="77777777">
            <w:pPr>
              <w:rPr>
                <w:rFonts w:ascii="Arial" w:hAnsi="Arial" w:cs="Arial"/>
                <w:sz w:val="22"/>
              </w:rPr>
            </w:pPr>
            <w:r w:rsidRPr="00357196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357196" w:rsidR="000167D5" w:rsidRDefault="00A441BA" w14:paraId="4B580D68" wp14:textId="77777777">
            <w:pPr>
              <w:rPr>
                <w:rFonts w:ascii="Arial" w:hAnsi="Arial" w:cs="Arial"/>
                <w:sz w:val="22"/>
              </w:rPr>
            </w:pPr>
            <w:r w:rsidRPr="00357196">
              <w:rPr>
                <w:rFonts w:ascii="Arial" w:hAnsi="Arial" w:cs="Arial"/>
                <w:sz w:val="22"/>
              </w:rPr>
              <w:t>+</w:t>
            </w:r>
          </w:p>
        </w:tc>
      </w:tr>
      <w:tr xmlns:wp14="http://schemas.microsoft.com/office/word/2010/wordml" w:rsidRPr="00357196" w:rsidR="000167D5" w14:paraId="04E80671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357196" w:rsidR="000167D5" w:rsidRDefault="000167D5" w14:paraId="68A41F4C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196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450EA2D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3DD355C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1A81F0B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717AAFB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56EE48E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2908EB2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121FD38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A441BA" w14:paraId="71468B8E" wp14:textId="77777777">
            <w:pPr>
              <w:rPr>
                <w:rFonts w:ascii="Arial" w:hAnsi="Arial" w:cs="Arial"/>
                <w:sz w:val="22"/>
              </w:rPr>
            </w:pPr>
            <w:r w:rsidRPr="00357196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357196" w:rsidR="000167D5" w:rsidRDefault="000167D5" w14:paraId="1FE2DD9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Pr="00357196" w:rsidR="000167D5" w:rsidRDefault="000167D5" w14:paraId="2735753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07F023C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4BDB549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A441BA" w14:paraId="57D20E00" wp14:textId="77777777">
            <w:pPr>
              <w:rPr>
                <w:rFonts w:ascii="Arial" w:hAnsi="Arial" w:cs="Arial"/>
                <w:sz w:val="22"/>
              </w:rPr>
            </w:pPr>
            <w:r w:rsidRPr="00357196">
              <w:rPr>
                <w:rFonts w:ascii="Arial" w:hAnsi="Arial" w:cs="Arial"/>
                <w:sz w:val="22"/>
              </w:rPr>
              <w:t>+</w:t>
            </w:r>
          </w:p>
        </w:tc>
      </w:tr>
      <w:tr xmlns:wp14="http://schemas.microsoft.com/office/word/2010/wordml" w:rsidRPr="00357196" w:rsidR="000167D5" w14:paraId="58DB5864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357196" w:rsidR="000167D5" w:rsidRDefault="000167D5" w14:paraId="1850DF5A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196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2916C19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74869460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187F57B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54738AF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46ABBD8F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06BBA33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464FCBC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A441BA" w14:paraId="0393E362" wp14:textId="77777777">
            <w:pPr>
              <w:rPr>
                <w:rFonts w:ascii="Arial" w:hAnsi="Arial" w:cs="Arial"/>
                <w:sz w:val="22"/>
              </w:rPr>
            </w:pPr>
            <w:r w:rsidRPr="00357196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357196" w:rsidR="000167D5" w:rsidRDefault="000167D5" w14:paraId="5C8C6B0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Pr="00357196" w:rsidR="000167D5" w:rsidRDefault="000167D5" w14:paraId="3382A365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5C71F13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62199465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A441BA" w14:paraId="5363A10B" wp14:textId="77777777">
            <w:pPr>
              <w:rPr>
                <w:rFonts w:ascii="Arial" w:hAnsi="Arial" w:cs="Arial"/>
                <w:sz w:val="22"/>
              </w:rPr>
            </w:pPr>
            <w:r w:rsidRPr="00357196">
              <w:rPr>
                <w:rFonts w:ascii="Arial" w:hAnsi="Arial" w:cs="Arial"/>
                <w:sz w:val="22"/>
              </w:rPr>
              <w:t>+</w:t>
            </w:r>
          </w:p>
        </w:tc>
      </w:tr>
      <w:tr xmlns:wp14="http://schemas.microsoft.com/office/word/2010/wordml" w:rsidRPr="00357196" w:rsidR="000167D5" w14:paraId="2B3D4F80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357196" w:rsidR="000167D5" w:rsidRDefault="000167D5" w14:paraId="6AF8F60D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196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0DA123B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4C4CEA3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50895670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38C1F85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0C8FE7C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41004F1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67C0C65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308D56C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Pr="00357196" w:rsidR="000167D5" w:rsidRDefault="000167D5" w14:paraId="797E50C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Pr="00357196" w:rsidR="000167D5" w:rsidRDefault="000167D5" w14:paraId="7B04FA4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568C698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1A93948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357196" w:rsidR="000167D5" w:rsidRDefault="000167D5" w14:paraId="6AA258D8" wp14:textId="77777777">
            <w:pPr>
              <w:rPr>
                <w:rFonts w:ascii="Arial" w:hAnsi="Arial" w:cs="Arial"/>
                <w:sz w:val="22"/>
              </w:rPr>
            </w:pPr>
          </w:p>
        </w:tc>
      </w:tr>
    </w:tbl>
    <w:p xmlns:wp14="http://schemas.microsoft.com/office/word/2010/wordml" w:rsidRPr="00357196" w:rsidR="000167D5" w:rsidRDefault="000167D5" w14:paraId="6FFBD3EC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Pr="00357196" w:rsidR="000167D5" w:rsidRDefault="000167D5" w14:paraId="30DCCCAD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Pr="00357196" w:rsidR="000167D5" w:rsidRDefault="000167D5" w14:paraId="36AF6883" wp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Pr="00357196" w:rsidR="000167D5" w14:paraId="1A3B6B77" wp14:textId="77777777">
        <w:tc>
          <w:tcPr>
            <w:tcW w:w="1941" w:type="dxa"/>
            <w:shd w:val="clear" w:color="auto" w:fill="DBE5F1"/>
            <w:vAlign w:val="center"/>
          </w:tcPr>
          <w:p w:rsidRPr="00357196" w:rsidR="000167D5" w:rsidRDefault="000167D5" w14:paraId="121391A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196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Pr="00236A68" w:rsidR="000167D5" w:rsidRDefault="00DA69D4" w14:paraId="181CEB13" wp14:textId="77777777">
            <w:pPr>
              <w:pStyle w:val="Zawartotabeli"/>
              <w:spacing w:before="57" w:after="57"/>
              <w:rPr>
                <w:rFonts w:cs="Arial"/>
                <w:sz w:val="22"/>
                <w:szCs w:val="16"/>
              </w:rPr>
            </w:pPr>
            <w:r w:rsidRPr="00236A68">
              <w:rPr>
                <w:rFonts w:cs="Arial"/>
                <w:sz w:val="18"/>
                <w:szCs w:val="18"/>
              </w:rPr>
              <w:t xml:space="preserve">Na ocenę końcową składają się obecność, przygotowanie i aktywność podczas ćwiczeń, przedstawienie prezentacji i zaliczenie jej, a także wynik egzaminu pisemnego. Dopuszczalne 2 nieobecności na ćwiczeniach, każda kolejna nieobecność, a także dwa przypadki nieprzygotowania do zajęć są równoznaczne konieczności pisania kolokwium zaliczeniowego, </w:t>
            </w:r>
            <w:r w:rsidRPr="00236A68" w:rsidR="00357196">
              <w:rPr>
                <w:rFonts w:cs="Arial"/>
                <w:sz w:val="18"/>
                <w:szCs w:val="18"/>
              </w:rPr>
              <w:t xml:space="preserve">którego </w:t>
            </w:r>
            <w:r w:rsidRPr="00236A68">
              <w:rPr>
                <w:rFonts w:cs="Arial"/>
                <w:sz w:val="18"/>
                <w:szCs w:val="18"/>
              </w:rPr>
              <w:t xml:space="preserve">wyniki </w:t>
            </w:r>
            <w:r w:rsidRPr="00236A68" w:rsidR="00357196">
              <w:rPr>
                <w:rFonts w:cs="Arial"/>
                <w:sz w:val="18"/>
                <w:szCs w:val="18"/>
              </w:rPr>
              <w:t>mają wpływ</w:t>
            </w:r>
            <w:r w:rsidRPr="00236A68">
              <w:rPr>
                <w:rFonts w:cs="Arial"/>
                <w:sz w:val="18"/>
                <w:szCs w:val="18"/>
              </w:rPr>
              <w:t xml:space="preserve"> </w:t>
            </w:r>
            <w:r w:rsidRPr="00236A68" w:rsidR="00357196">
              <w:rPr>
                <w:rFonts w:cs="Arial"/>
                <w:sz w:val="18"/>
                <w:szCs w:val="18"/>
              </w:rPr>
              <w:t xml:space="preserve">na </w:t>
            </w:r>
            <w:r w:rsidRPr="00236A68">
              <w:rPr>
                <w:rFonts w:cs="Arial"/>
                <w:sz w:val="18"/>
                <w:szCs w:val="18"/>
              </w:rPr>
              <w:t>ocen</w:t>
            </w:r>
            <w:r w:rsidRPr="00236A68" w:rsidR="00357196">
              <w:rPr>
                <w:rFonts w:cs="Arial"/>
                <w:sz w:val="18"/>
                <w:szCs w:val="18"/>
              </w:rPr>
              <w:t>ę końcową</w:t>
            </w:r>
            <w:r w:rsidRPr="00236A68">
              <w:rPr>
                <w:rFonts w:cs="Arial"/>
                <w:sz w:val="18"/>
                <w:szCs w:val="18"/>
              </w:rPr>
              <w:t xml:space="preserve">. </w:t>
            </w:r>
          </w:p>
        </w:tc>
      </w:tr>
    </w:tbl>
    <w:p xmlns:wp14="http://schemas.microsoft.com/office/word/2010/wordml" w:rsidRPr="00357196" w:rsidR="000167D5" w:rsidRDefault="000167D5" w14:paraId="54C529ED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Pr="00357196" w:rsidR="000167D5" w:rsidRDefault="000167D5" w14:paraId="1C0157D6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Pr="00357196" w:rsidR="000167D5" w14:paraId="54522B86" wp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Pr="00357196" w:rsidR="000167D5" w:rsidRDefault="000167D5" w14:paraId="718A5242" wp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196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Pr="00236A68" w:rsidR="00DA69D4" w:rsidP="00DA69D4" w:rsidRDefault="00DA69D4" w14:paraId="6B504B85" wp14:textId="77777777">
            <w:pPr>
              <w:widowControl/>
              <w:suppressAutoHyphens w:val="0"/>
              <w:autoSpaceDE/>
              <w:spacing w:before="57" w:after="57"/>
              <w:rPr>
                <w:rFonts w:eastAsia="Batang"/>
                <w:sz w:val="18"/>
                <w:szCs w:val="18"/>
                <w:lang w:eastAsia="ko-KR"/>
              </w:rPr>
            </w:pPr>
            <w:r w:rsidRPr="00236A68">
              <w:rPr>
                <w:rFonts w:eastAsia="Batang" w:cs="Arial"/>
                <w:sz w:val="18"/>
                <w:szCs w:val="18"/>
                <w:lang w:eastAsia="ko-KR"/>
              </w:rPr>
              <w:t>„Inne” formy sprawdzenia efektów kształcenia</w:t>
            </w:r>
            <w:r w:rsidRPr="00236A68" w:rsidR="00C45785">
              <w:rPr>
                <w:rFonts w:eastAsia="Batang" w:cs="Arial"/>
                <w:sz w:val="18"/>
                <w:szCs w:val="18"/>
                <w:lang w:eastAsia="ko-KR"/>
              </w:rPr>
              <w:t>:</w:t>
            </w:r>
          </w:p>
          <w:p w:rsidRPr="00236A68" w:rsidR="00DA69D4" w:rsidP="00DA69D4" w:rsidRDefault="00DA69D4" w14:paraId="7EDB4152" wp14:textId="77777777">
            <w:pPr>
              <w:widowControl/>
              <w:suppressAutoHyphens w:val="0"/>
              <w:autoSpaceDE/>
              <w:spacing w:before="100" w:beforeAutospacing="1" w:after="100" w:afterAutospacing="1"/>
              <w:ind w:left="16"/>
              <w:rPr>
                <w:rFonts w:eastAsia="Batang"/>
                <w:sz w:val="18"/>
                <w:szCs w:val="18"/>
                <w:lang w:eastAsia="ko-KR"/>
              </w:rPr>
            </w:pPr>
            <w:r w:rsidRPr="00236A68">
              <w:rPr>
                <w:rFonts w:eastAsia="Batang" w:cs="Arial"/>
                <w:sz w:val="18"/>
                <w:szCs w:val="18"/>
                <w:lang w:eastAsia="ko-KR"/>
              </w:rPr>
              <w:t xml:space="preserve">Ustne: </w:t>
            </w:r>
            <w:r w:rsidRPr="00236A68">
              <w:rPr>
                <w:rFonts w:eastAsia="Batang"/>
                <w:sz w:val="18"/>
                <w:szCs w:val="18"/>
                <w:lang w:eastAsia="ko-KR"/>
              </w:rPr>
              <w:t>odpowiedzi na zadane pytania,</w:t>
            </w:r>
            <w:r w:rsidRPr="00236A68">
              <w:rPr>
                <w:rFonts w:eastAsia="Batang"/>
                <w:b/>
                <w:bCs/>
                <w:sz w:val="18"/>
                <w:szCs w:val="18"/>
                <w:lang w:eastAsia="ko-KR"/>
              </w:rPr>
              <w:t xml:space="preserve"> </w:t>
            </w:r>
            <w:r w:rsidRPr="00236A68">
              <w:rPr>
                <w:rFonts w:eastAsia="Batang"/>
                <w:sz w:val="18"/>
                <w:szCs w:val="18"/>
                <w:lang w:eastAsia="ko-KR"/>
              </w:rPr>
              <w:t xml:space="preserve">prezentacje </w:t>
            </w:r>
          </w:p>
          <w:p w:rsidRPr="00236A68" w:rsidR="00DA69D4" w:rsidP="00DA69D4" w:rsidRDefault="00DA69D4" w14:paraId="57C98137" wp14:textId="77777777">
            <w:pPr>
              <w:widowControl/>
              <w:suppressAutoHyphens w:val="0"/>
              <w:autoSpaceDE/>
              <w:spacing w:before="100" w:beforeAutospacing="1" w:after="100" w:afterAutospacing="1"/>
              <w:ind w:left="16"/>
              <w:rPr>
                <w:rFonts w:eastAsia="Batang"/>
                <w:sz w:val="18"/>
                <w:szCs w:val="18"/>
                <w:lang w:eastAsia="ko-KR"/>
              </w:rPr>
            </w:pPr>
            <w:r w:rsidRPr="00236A68">
              <w:rPr>
                <w:rFonts w:eastAsia="Batang"/>
                <w:sz w:val="18"/>
                <w:szCs w:val="18"/>
                <w:lang w:eastAsia="ko-KR"/>
              </w:rPr>
              <w:t>Pisemne: prace zaliczeniowe, sprawdziany wiedzy </w:t>
            </w:r>
          </w:p>
          <w:p w:rsidRPr="00357196" w:rsidR="000167D5" w:rsidRDefault="000167D5" w14:paraId="3691E7B2" wp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  <w:tr xmlns:wp14="http://schemas.microsoft.com/office/word/2010/wordml" w:rsidRPr="00357196" w:rsidR="00DA69D4" w14:paraId="526770CE" wp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Pr="00357196" w:rsidR="00DA69D4" w:rsidRDefault="00DA69D4" w14:paraId="7CBEED82" wp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9" w:type="dxa"/>
          </w:tcPr>
          <w:p w:rsidRPr="00357196" w:rsidR="00DA69D4" w:rsidRDefault="00DA69D4" w14:paraId="6E36661F" wp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xmlns:wp14="http://schemas.microsoft.com/office/word/2010/wordml" w:rsidRPr="00357196" w:rsidR="000167D5" w:rsidRDefault="000167D5" w14:paraId="38645DC7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Pr="00357196" w:rsidR="000167D5" w:rsidRDefault="000167D5" w14:paraId="135E58C4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Pr="00357196" w:rsidR="000167D5" w:rsidRDefault="000167D5" w14:paraId="159A33C0" wp14:textId="77777777">
      <w:pPr>
        <w:rPr>
          <w:rFonts w:ascii="Arial" w:hAnsi="Arial" w:cs="Arial"/>
          <w:sz w:val="22"/>
          <w:szCs w:val="22"/>
        </w:rPr>
      </w:pPr>
      <w:r w:rsidRPr="00357196">
        <w:rPr>
          <w:rFonts w:ascii="Arial" w:hAnsi="Arial" w:cs="Arial"/>
          <w:sz w:val="22"/>
          <w:szCs w:val="22"/>
        </w:rPr>
        <w:t>Treści merytoryczne (wykaz tematów)</w:t>
      </w:r>
    </w:p>
    <w:p xmlns:wp14="http://schemas.microsoft.com/office/word/2010/wordml" w:rsidRPr="00357196" w:rsidR="000167D5" w:rsidRDefault="000167D5" w14:paraId="62EBF9A1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Pr="00357196" w:rsidR="000167D5" w14:paraId="2D3BBAA2" wp14:textId="77777777">
        <w:tblPrEx>
          <w:tblCellMar>
            <w:top w:w="0" w:type="dxa"/>
            <w:bottom w:w="0" w:type="dxa"/>
          </w:tblCellMar>
        </w:tblPrEx>
        <w:trPr>
          <w:trHeight w:val="1136"/>
        </w:trPr>
        <w:tc>
          <w:tcPr>
            <w:tcW w:w="9622" w:type="dxa"/>
          </w:tcPr>
          <w:p w:rsidRPr="009A75EA" w:rsidR="00DA69D4" w:rsidP="00AD5A5E" w:rsidRDefault="00DA69D4" w14:paraId="5EA8647A" wp14:textId="77777777">
            <w:pPr>
              <w:pStyle w:val="NormalnyWeb"/>
              <w:spacing w:before="0" w:beforeAutospacing="0" w:after="0" w:afterAutospacing="0"/>
              <w:rPr>
                <w:b/>
                <w:bCs/>
                <w:color w:val="000000"/>
                <w:sz w:val="18"/>
                <w:szCs w:val="18"/>
              </w:rPr>
            </w:pPr>
            <w:r w:rsidRPr="009A75EA">
              <w:rPr>
                <w:b/>
                <w:bCs/>
                <w:color w:val="000000"/>
                <w:sz w:val="18"/>
                <w:szCs w:val="18"/>
              </w:rPr>
              <w:t>WYKŁAD</w:t>
            </w:r>
          </w:p>
          <w:p w:rsidRPr="009A75EA" w:rsidR="00AD5A5E" w:rsidP="00DA69D4" w:rsidRDefault="00AD5A5E" w14:paraId="0C6C2CD5" wp14:textId="77777777">
            <w:pPr>
              <w:pStyle w:val="NormalnyWeb"/>
              <w:spacing w:before="0" w:beforeAutospacing="0" w:after="0" w:afterAutospacing="0"/>
              <w:ind w:firstLine="540"/>
            </w:pPr>
          </w:p>
          <w:p w:rsidRPr="009A75EA" w:rsidR="00DA69D4" w:rsidP="00DA69D4" w:rsidRDefault="00DA69D4" w14:paraId="6E6DE5E3" wp14:textId="77777777">
            <w:pPr>
              <w:pStyle w:val="BalloonTex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1.Przedmiot i problematyka</w:t>
            </w:r>
            <w:r w:rsidRPr="009A75EA" w:rsidR="00C457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antropologii kulturowej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Antropologia </w:t>
            </w:r>
            <w:r w:rsidRPr="009A75EA" w:rsidR="00C45785">
              <w:rPr>
                <w:rFonts w:ascii="Times New Roman" w:hAnsi="Times New Roman"/>
                <w:color w:val="000000"/>
                <w:sz w:val="18"/>
                <w:szCs w:val="18"/>
              </w:rPr>
              <w:t>kultura wśród innych nauk społecznych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Definicje </w:t>
            </w:r>
            <w:r w:rsidRPr="009A75EA" w:rsidR="00C457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i typy 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kultur. Kultura tradycyjna i kultura społeczeństw przemysłowych. </w:t>
            </w:r>
          </w:p>
          <w:p w:rsidRPr="009A75EA" w:rsidR="00DA69D4" w:rsidP="00DA69D4" w:rsidRDefault="00DA69D4" w14:paraId="04B3A2F7" wp14:textId="77777777">
            <w:pPr>
              <w:pStyle w:val="BalloonText"/>
              <w:rPr>
                <w:rFonts w:ascii="Times New Roman" w:hAnsi="Times New Roman"/>
                <w:sz w:val="18"/>
                <w:szCs w:val="18"/>
              </w:rPr>
            </w:pP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2.Metodologia badań antropologicznych. </w:t>
            </w:r>
            <w:r w:rsidRPr="009A75EA" w:rsidR="0049715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Wyobraźnia antropologiczna. 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Antropolog w terenie: problemy etyczne. </w:t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</w:p>
          <w:p w:rsidRPr="009A75EA" w:rsidR="00DA69D4" w:rsidP="00DA69D4" w:rsidRDefault="00DA69D4" w14:paraId="52C46C11" wp14:textId="77777777">
            <w:pPr>
              <w:pStyle w:val="BalloonText"/>
              <w:rPr>
                <w:rFonts w:ascii="Times New Roman" w:hAnsi="Times New Roman"/>
                <w:sz w:val="18"/>
                <w:szCs w:val="18"/>
              </w:rPr>
            </w:pP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3.Rasa i kultura, rasa i </w:t>
            </w:r>
            <w:r w:rsidRPr="009A75EA" w:rsidR="00C45785">
              <w:rPr>
                <w:rFonts w:ascii="Times New Roman" w:hAnsi="Times New Roman"/>
                <w:color w:val="000000"/>
                <w:sz w:val="18"/>
                <w:szCs w:val="18"/>
              </w:rPr>
              <w:t>biologia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. Rasizm i kolonializm w historii myśli antropologicznej.</w:t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</w:p>
          <w:p w:rsidRPr="009A75EA" w:rsidR="00DA69D4" w:rsidP="00DA69D4" w:rsidRDefault="00DA69D4" w14:paraId="60533CDC" wp14:textId="77777777">
            <w:pPr>
              <w:pStyle w:val="BalloonText"/>
              <w:rPr>
                <w:rFonts w:ascii="Times New Roman" w:hAnsi="Times New Roman"/>
                <w:sz w:val="18"/>
                <w:szCs w:val="18"/>
              </w:rPr>
            </w:pP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4.Kultura i natura. Dzikie dzieci. Zalążki kultury u zwierząt.</w:t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</w:p>
          <w:p w:rsidRPr="009A75EA" w:rsidR="00DA69D4" w:rsidP="00DA69D4" w:rsidRDefault="00DA69D4" w14:paraId="19C30C05" wp14:textId="77777777">
            <w:pPr>
              <w:pStyle w:val="BalloonText"/>
              <w:rPr>
                <w:rFonts w:ascii="Times New Roman" w:hAnsi="Times New Roman"/>
                <w:sz w:val="18"/>
                <w:szCs w:val="18"/>
              </w:rPr>
            </w:pP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5.</w:t>
            </w:r>
            <w:r w:rsidRPr="009A75EA" w:rsidR="00C45785">
              <w:rPr>
                <w:rFonts w:ascii="Times New Roman" w:hAnsi="Times New Roman"/>
                <w:color w:val="000000"/>
                <w:sz w:val="18"/>
                <w:szCs w:val="18"/>
              </w:rPr>
              <w:t>Kulturowe aspekty a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ntropogenez</w:t>
            </w:r>
            <w:r w:rsidRPr="009A75EA" w:rsidR="00C45785">
              <w:rPr>
                <w:rFonts w:ascii="Times New Roman" w:hAnsi="Times New Roman"/>
                <w:color w:val="000000"/>
                <w:sz w:val="18"/>
                <w:szCs w:val="18"/>
              </w:rPr>
              <w:t>y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. Najnowsze odkrycia i nierozstrzygnięte pytania paleoantropologii.</w:t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</w:p>
          <w:p w:rsidRPr="009A75EA" w:rsidR="00DA69D4" w:rsidP="00DA69D4" w:rsidRDefault="00DA69D4" w14:paraId="121DC8D9" wp14:textId="77777777">
            <w:pPr>
              <w:pStyle w:val="BalloonTex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6.U zarania antropologii. Sposoby opisywania kultur pozaeuropejskich od </w:t>
            </w:r>
            <w:r w:rsidRPr="009A75EA" w:rsidR="00591AD2">
              <w:rPr>
                <w:rFonts w:ascii="Times New Roman" w:hAnsi="Times New Roman"/>
                <w:color w:val="000000"/>
                <w:sz w:val="18"/>
                <w:szCs w:val="18"/>
              </w:rPr>
              <w:t>S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tarożytności po </w:t>
            </w:r>
            <w:r w:rsidRPr="009A75EA" w:rsidR="00357196">
              <w:rPr>
                <w:rFonts w:ascii="Times New Roman" w:hAnsi="Times New Roman"/>
                <w:color w:val="000000"/>
                <w:sz w:val="18"/>
                <w:szCs w:val="18"/>
              </w:rPr>
              <w:t>O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świecenie. „Dzikus”: oświeceniowa dyskusja o naturze ludzkiej i cywilizacji. </w:t>
            </w:r>
          </w:p>
          <w:p w:rsidRPr="009A75EA" w:rsidR="00A54C61" w:rsidP="00DA69D4" w:rsidRDefault="00A54C61" w14:paraId="709E88E4" wp14:textId="77777777">
            <w:pPr>
              <w:pStyle w:val="BalloonText"/>
              <w:rPr>
                <w:rFonts w:ascii="Times New Roman" w:hAnsi="Times New Roman"/>
                <w:sz w:val="18"/>
                <w:szCs w:val="18"/>
              </w:rPr>
            </w:pPr>
          </w:p>
          <w:p w:rsidRPr="009A75EA" w:rsidR="00DA69D4" w:rsidP="00DA69D4" w:rsidRDefault="00DA69D4" w14:paraId="1E4B1C68" wp14:textId="77777777">
            <w:pPr>
              <w:pStyle w:val="BalloonTex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7. </w:t>
            </w:r>
            <w:r w:rsidRPr="009A75EA" w:rsidR="00AD5A5E">
              <w:rPr>
                <w:rFonts w:ascii="Times New Roman" w:hAnsi="Times New Roman"/>
                <w:color w:val="000000"/>
                <w:sz w:val="18"/>
                <w:szCs w:val="18"/>
              </w:rPr>
              <w:t>N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urty teoretyczne w antropologii. Ewolucjonizm. XIX-wieczne dyskusje o mono- i poligenezie oraz systemach pokrewieństwa. E. Taylor i szkoła brytyjska: metoda komparatywna i teoria przeżytków. L. Morgan jako prekursor szkoły amerykańskiej. Odkrycie systemu klasyfikacji terminów pokrewieństwa. Model ewolucyjny i teoria magii J. Frazera. </w:t>
            </w:r>
          </w:p>
          <w:p w:rsidRPr="009A75EA" w:rsidR="00AD5A5E" w:rsidP="00DA69D4" w:rsidRDefault="00AD5A5E" w14:paraId="508C98E9" wp14:textId="77777777">
            <w:pPr>
              <w:pStyle w:val="BalloonText"/>
              <w:rPr>
                <w:rFonts w:ascii="Times New Roman" w:hAnsi="Times New Roman"/>
                <w:sz w:val="18"/>
                <w:szCs w:val="18"/>
              </w:rPr>
            </w:pPr>
          </w:p>
          <w:p w:rsidRPr="009A75EA" w:rsidR="00DA69D4" w:rsidP="00DA69D4" w:rsidRDefault="00DA69D4" w14:paraId="5902771C" wp14:textId="77777777">
            <w:pPr>
              <w:pStyle w:val="BalloonText"/>
              <w:rPr>
                <w:rFonts w:ascii="Times New Roman" w:hAnsi="Times New Roman"/>
                <w:sz w:val="18"/>
                <w:szCs w:val="18"/>
              </w:rPr>
            </w:pP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8. Teoretyczne i metodologiczne założenia dyfuzjonizmu (F. Ratzel, L. Frobenius, F. Graebner i B. Ankermann, W. Schmidt). Antropologia niemieckojęzyczna w obliczu nazizmu. </w:t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</w:p>
          <w:p w:rsidRPr="009A75EA" w:rsidR="00DA69D4" w:rsidP="00DA69D4" w:rsidRDefault="00DA69D4" w14:paraId="453203F0" wp14:textId="77777777">
            <w:pPr>
              <w:pStyle w:val="BalloonText"/>
              <w:rPr>
                <w:rFonts w:ascii="Times New Roman" w:hAnsi="Times New Roman"/>
                <w:sz w:val="18"/>
                <w:szCs w:val="18"/>
              </w:rPr>
            </w:pP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9. Historyzm i relatywizm kulturowy: F. Boas i jego wpływ na rozwój dyscypliny. Profesjonalizacja amerykańskiej antropologii. Uczniowie F. Boasa.</w:t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</w:p>
          <w:p w:rsidRPr="009A75EA" w:rsidR="00DA69D4" w:rsidP="00DA69D4" w:rsidRDefault="00DA69D4" w14:paraId="00BF9454" wp14:textId="77777777">
            <w:pPr>
              <w:pStyle w:val="BalloonText"/>
              <w:rPr>
                <w:rFonts w:ascii="Times New Roman" w:hAnsi="Times New Roman"/>
                <w:sz w:val="18"/>
                <w:szCs w:val="18"/>
              </w:rPr>
            </w:pP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10. </w:t>
            </w:r>
            <w:r w:rsidRPr="009A75EA" w:rsidR="00DD5FE5">
              <w:rPr>
                <w:rFonts w:ascii="Times New Roman" w:hAnsi="Times New Roman"/>
                <w:color w:val="000000"/>
                <w:sz w:val="18"/>
                <w:szCs w:val="18"/>
              </w:rPr>
              <w:t>N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urt “Kultura i osobowość”. </w:t>
            </w:r>
            <w:r w:rsidRPr="009A75EA" w:rsidR="00AD5A5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Konfiguracjonizm 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R. Benedict. Antropologia dzieciństwa, wychowania i dojrzewania w pracach M. Mead. Psychoanaliza A. Kardinera.</w:t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</w:p>
          <w:p w:rsidRPr="009A75EA" w:rsidR="00DA69D4" w:rsidP="00DA69D4" w:rsidRDefault="00DA69D4" w14:paraId="643B783E" wp14:textId="77777777">
            <w:pPr>
              <w:pStyle w:val="BalloonText"/>
              <w:rPr>
                <w:rFonts w:ascii="Times New Roman" w:hAnsi="Times New Roman"/>
                <w:sz w:val="18"/>
                <w:szCs w:val="18"/>
              </w:rPr>
            </w:pP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11. </w:t>
            </w:r>
            <w:r w:rsidRPr="009A75EA" w:rsidR="00591AD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Funkcjonalizm. 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B. Malinowski o istocie i funkcjach kultury. Strukturalny funkcjonalizm A. Radcliffe-Browna. Antropologia jako nauka humanistyczna w ujęciu E. Evansa-Pritcharda. Dyskusja metodologiczna i etyka badań terenowych. </w:t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</w:p>
          <w:p w:rsidRPr="009A75EA" w:rsidR="00DA69D4" w:rsidP="00DA69D4" w:rsidRDefault="00DA69D4" w14:paraId="4AF1EBA0" wp14:textId="77777777">
            <w:pPr>
              <w:pStyle w:val="BalloonText"/>
              <w:rPr>
                <w:rFonts w:ascii="Times New Roman" w:hAnsi="Times New Roman"/>
                <w:sz w:val="18"/>
                <w:szCs w:val="18"/>
              </w:rPr>
            </w:pP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12. Wpływ językoznawstwa na badania nad kulturą. „Kurs językoznawstwa ogólnego” F. de Saussura. Hipoteza E. Sapira and B.</w:t>
            </w:r>
            <w:r w:rsidRPr="009A75EA" w:rsidR="00DD5FE5">
              <w:rPr>
                <w:rFonts w:ascii="Times New Roman" w:hAnsi="Times New Roman"/>
                <w:color w:val="000000"/>
                <w:sz w:val="18"/>
                <w:szCs w:val="18"/>
              </w:rPr>
              <w:t>L.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 Worfa. W. Propp i morfologia bajki. R. Jacobson i Praskie Koło Lingwistyczne. </w:t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</w:p>
          <w:p w:rsidRPr="009A75EA" w:rsidR="00DA69D4" w:rsidP="00DA69D4" w:rsidRDefault="00DA69D4" w14:paraId="73CAE6BA" wp14:textId="77777777">
            <w:pPr>
              <w:pStyle w:val="BalloonText"/>
              <w:rPr>
                <w:rFonts w:ascii="Times New Roman" w:hAnsi="Times New Roman"/>
                <w:sz w:val="18"/>
                <w:szCs w:val="18"/>
              </w:rPr>
            </w:pP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13. Strukturalizm C. Levi-Straussa. Procesualistyczny strukturalizm E. Leacha. </w:t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</w:p>
          <w:p w:rsidRPr="009A75EA" w:rsidR="00DA69D4" w:rsidP="00DA69D4" w:rsidRDefault="00DA69D4" w14:paraId="19B8CA2A" wp14:textId="77777777">
            <w:pPr>
              <w:pStyle w:val="BalloonText"/>
              <w:rPr>
                <w:rFonts w:ascii="Times New Roman" w:hAnsi="Times New Roman"/>
                <w:sz w:val="18"/>
                <w:szCs w:val="18"/>
              </w:rPr>
            </w:pP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14. Nowa odsłona ewolucjonizmu. </w:t>
            </w:r>
            <w:r w:rsidRPr="009A75EA" w:rsidR="00143C43">
              <w:rPr>
                <w:rFonts w:ascii="Times New Roman" w:hAnsi="Times New Roman"/>
                <w:color w:val="000000"/>
                <w:sz w:val="18"/>
                <w:szCs w:val="18"/>
              </w:rPr>
              <w:t>Neoewolucjonizm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multilinearny </w:t>
            </w:r>
            <w:r w:rsidRPr="009A75EA" w:rsidR="00143C43">
              <w:rPr>
                <w:rFonts w:ascii="Times New Roman" w:hAnsi="Times New Roman"/>
                <w:color w:val="000000"/>
                <w:sz w:val="18"/>
                <w:szCs w:val="18"/>
              </w:rPr>
              <w:t>i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uniwersalny (L. White, J. Steward, M. Harris). </w:t>
            </w:r>
            <w:r w:rsidRPr="009A75EA" w:rsidR="00DD5FE5">
              <w:rPr>
                <w:rFonts w:ascii="Times New Roman" w:hAnsi="Times New Roman"/>
                <w:color w:val="000000"/>
                <w:sz w:val="18"/>
                <w:szCs w:val="18"/>
              </w:rPr>
              <w:t>Antropologia interpretatywna. C. Geetrz i metoda „gęstego opisu”.</w:t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</w:p>
          <w:p w:rsidRPr="009A75EA" w:rsidR="00DA69D4" w:rsidP="00DA69D4" w:rsidRDefault="00DA69D4" w14:paraId="1D9D6C8F" wp14:textId="77777777">
            <w:pPr>
              <w:pStyle w:val="BalloonText"/>
              <w:rPr>
                <w:rFonts w:ascii="Times New Roman" w:hAnsi="Times New Roman"/>
                <w:sz w:val="18"/>
                <w:szCs w:val="18"/>
              </w:rPr>
            </w:pP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15. Antropologia kognitywna. Antropologia postmodernistyczna i poststrukturalistyczna. Antropologia feministyczna.</w:t>
            </w:r>
            <w:r w:rsidRPr="009A75EA" w:rsidR="00DD5FE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Współczesne społeczeństwa w perspektywie antropologicznej. Podsumowanie: kierunki przyszłego rozwoju teorii antropologicznej. </w:t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  <w:r w:rsidRPr="009A75E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ĆWICZENIA</w:t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</w:p>
          <w:p w:rsidRPr="009A75EA" w:rsidR="00DA69D4" w:rsidP="00DA69D4" w:rsidRDefault="00DA69D4" w14:paraId="74675A06" wp14:textId="77777777">
            <w:pPr>
              <w:pStyle w:val="BalloonTex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1. Przedmiot i metoda </w:t>
            </w:r>
            <w:r w:rsidRPr="009A75EA" w:rsidR="00143C43">
              <w:rPr>
                <w:rFonts w:ascii="Times New Roman" w:hAnsi="Times New Roman"/>
                <w:color w:val="000000"/>
                <w:sz w:val="18"/>
                <w:szCs w:val="18"/>
              </w:rPr>
              <w:t>antropologii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kulturowej.</w:t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Philip Bagby, Pojęcie kultury, w: Antropologia kulturowa. Zagadnienia i wybór tekstów, cz.</w:t>
            </w:r>
            <w:r w:rsidRPr="009A75EA" w:rsidR="00143C4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I. red. Andrzej Mencwel, Warszawa 2001, s.50-58</w:t>
            </w:r>
          </w:p>
          <w:p w:rsidRPr="009A75EA" w:rsidR="00DA69D4" w:rsidP="00DA69D4" w:rsidRDefault="00DA69D4" w14:paraId="525EA0DF" wp14:textId="77777777">
            <w:pPr>
              <w:pStyle w:val="BalloonText"/>
              <w:rPr>
                <w:rFonts w:ascii="Times New Roman" w:hAnsi="Times New Roman"/>
                <w:sz w:val="18"/>
                <w:szCs w:val="18"/>
              </w:rPr>
            </w:pP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J. Clifford, Praktyki przestrzenne: badania terenowe, podróże i praktyki dyscyplinujące w antropologii, w: Badanie kultury. Elementy teorii antropologicznej. Kontynuacje, Warszawa 2006, s. 139-179</w:t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  <w:r w:rsidRPr="009A75EA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Prezentacja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: dowolna kultura plemienna</w:t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</w:p>
          <w:p w:rsidRPr="009A75EA" w:rsidR="00DA69D4" w:rsidP="00DA69D4" w:rsidRDefault="00DA69D4" w14:paraId="7C7C9BD3" wp14:textId="77777777">
            <w:pPr>
              <w:pStyle w:val="BalloonTex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2. Kultura tradycyjna i kultura współczesna.</w:t>
            </w:r>
          </w:p>
          <w:p w:rsidRPr="009A75EA" w:rsidR="00DA69D4" w:rsidP="00DA69D4" w:rsidRDefault="00DA69D4" w14:paraId="485BA08F" wp14:textId="77777777">
            <w:pPr>
              <w:pStyle w:val="BalloonText"/>
              <w:rPr>
                <w:rFonts w:ascii="Times New Roman" w:hAnsi="Times New Roman"/>
                <w:sz w:val="18"/>
                <w:szCs w:val="18"/>
              </w:rPr>
            </w:pP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C. Levi-Strauss, Bororo, w: Świat człowieka – świat kultury. Antologia tekstów klasycznej antropologii, red. E. Nowicka i M. Głowacka-Grajper, Warszawa 2009, s. 715-737</w:t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J</w:t>
            </w:r>
            <w:r w:rsidRPr="009A75EA" w:rsidR="008260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Ortega y Gasset, Bunt mas, w: Antropologia kulturowa. Zagadnienia i wybór tekstów, cz.</w:t>
            </w:r>
            <w:r w:rsidRPr="009A75EA" w:rsidR="00143C4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I. red. Andrzej Mencwel, Warszawa 2001, s.469-479</w:t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  <w:r w:rsidRPr="009A75EA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Prezentacja: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dowolna kultura plemienna</w:t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</w:p>
          <w:p w:rsidRPr="009A75EA" w:rsidR="00DA69D4" w:rsidP="00DA69D4" w:rsidRDefault="00DA69D4" w14:paraId="5FD1FA76" wp14:textId="77777777">
            <w:pPr>
              <w:pStyle w:val="BalloonText"/>
              <w:rPr>
                <w:rFonts w:ascii="Times New Roman" w:hAnsi="Times New Roman"/>
                <w:sz w:val="18"/>
                <w:szCs w:val="18"/>
              </w:rPr>
            </w:pP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3. Kultura i natura. Kultura i biologia. Kultura zwierząt.</w:t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F</w:t>
            </w:r>
            <w:r w:rsidRPr="009A75EA" w:rsidR="0082607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Fernandez-Armesto, Więc myślisz, że jesteś człowiekiem?, Poznań 2006, rozdział I: Pogranicze zwierząt. Problemy z samookreśleniem się człowieka, s.21-48</w:t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  <w:r w:rsidRPr="009A75EA" w:rsidR="008260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F. Fukuyama. 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Koniec człowieka. Konsekwencje rewolucji biotechnologicznej, przekł. z ang. Bartłomiej Pietrzyk, Kraków 2004, Część I.     </w:t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  <w:r w:rsidRPr="009A75EA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Prezentacja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: </w:t>
            </w:r>
            <w:r w:rsidRPr="009A75EA" w:rsidR="00143C43">
              <w:rPr>
                <w:rFonts w:ascii="Times New Roman" w:hAnsi="Times New Roman"/>
                <w:color w:val="000000"/>
                <w:sz w:val="18"/>
                <w:szCs w:val="18"/>
              </w:rPr>
              <w:t>prymatologa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, genetyka, neurobiologia  – aspekty kulturowe</w:t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</w:p>
          <w:p w:rsidRPr="009A75EA" w:rsidR="00DA69D4" w:rsidP="00DA69D4" w:rsidRDefault="00DA69D4" w14:paraId="65E7AF6D" wp14:textId="77777777">
            <w:pPr>
              <w:pStyle w:val="BalloonTex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4. Antropogeneza. Narodziny kultury.</w:t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F</w:t>
            </w:r>
            <w:r w:rsidRPr="009A75EA" w:rsidR="0082607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Koneczny. O wielości cywilizacji, Kraków 1935, rozdział II, Zawiązki wszelkiej kultury, s. 47-93</w:t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R</w:t>
            </w:r>
            <w:r w:rsidRPr="009A75EA" w:rsidR="0082607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Leakey. Pochodzenie człowieka. Warszawa 1995, s. 139-162 (Rozdział 6 – Język sztuki). </w:t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  <w:r w:rsidRPr="009A75EA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Prezentacja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: </w:t>
            </w:r>
            <w:r w:rsidRPr="009A75EA" w:rsidR="00AC40BA">
              <w:rPr>
                <w:rFonts w:ascii="Times New Roman" w:hAnsi="Times New Roman"/>
                <w:color w:val="000000"/>
                <w:sz w:val="18"/>
                <w:szCs w:val="18"/>
              </w:rPr>
              <w:t>s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ztuka paleolitu</w:t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5. Kategorie myślenia pierwotnego. Mit.</w:t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L</w:t>
            </w:r>
            <w:r w:rsidRPr="009A75EA" w:rsidR="0082607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Levy-Bruhl, Partycypacja mistyczna, w: Antropologia </w:t>
            </w:r>
            <w:r w:rsidRPr="009A75EA" w:rsidR="00143C43">
              <w:rPr>
                <w:rFonts w:ascii="Times New Roman" w:hAnsi="Times New Roman"/>
                <w:color w:val="000000"/>
                <w:sz w:val="18"/>
                <w:szCs w:val="18"/>
              </w:rPr>
              <w:t>kultury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, Zagadnienia i wybór tekstów, red. Andrzej Mencwel, Warszawa 2001, s. 353-367</w:t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C</w:t>
            </w:r>
            <w:r w:rsidRPr="009A75EA" w:rsidR="008260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Levi-Strauss. Struktura mitów, w: Świat człowieka – świat kultury. Antologia tekstów klasycznej antropologii, red. E. Nowicka i M. Głowacka-Grajper, Warszawa 2009, s. 755-776</w:t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  <w:r w:rsidRPr="009A75EA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Prezentacja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: mity</w:t>
            </w:r>
          </w:p>
          <w:p w:rsidRPr="009A75EA" w:rsidR="00DA69D4" w:rsidP="00DA69D4" w:rsidRDefault="00DA69D4" w14:paraId="3FFBE332" wp14:textId="77777777">
            <w:pPr>
              <w:pStyle w:val="BalloonText"/>
              <w:rPr>
                <w:rFonts w:ascii="Times New Roman" w:hAnsi="Times New Roman"/>
                <w:sz w:val="18"/>
                <w:szCs w:val="18"/>
              </w:rPr>
            </w:pP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6. Kategorie myślenia pierwotnego. Magia i religia.</w:t>
            </w:r>
            <w:r w:rsidRPr="009A75E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  <w:r w:rsidRPr="009A75EA" w:rsidR="00F03502">
              <w:rPr>
                <w:rStyle w:val="st"/>
                <w:rFonts w:ascii="Times New Roman" w:hAnsi="Times New Roman"/>
                <w:sz w:val="18"/>
                <w:szCs w:val="18"/>
              </w:rPr>
              <w:t>J</w:t>
            </w:r>
            <w:r w:rsidRPr="009A75EA" w:rsidR="00313B9F">
              <w:rPr>
                <w:rStyle w:val="st"/>
                <w:rFonts w:ascii="Times New Roman" w:hAnsi="Times New Roman"/>
                <w:sz w:val="18"/>
                <w:szCs w:val="18"/>
              </w:rPr>
              <w:t>.</w:t>
            </w:r>
            <w:r w:rsidRPr="009A75EA" w:rsidR="00F03502">
              <w:rPr>
                <w:rStyle w:val="st"/>
                <w:rFonts w:ascii="Times New Roman" w:hAnsi="Times New Roman"/>
                <w:sz w:val="18"/>
                <w:szCs w:val="18"/>
              </w:rPr>
              <w:t xml:space="preserve"> </w:t>
            </w:r>
            <w:r w:rsidRPr="009A75EA" w:rsidR="00F03502">
              <w:rPr>
                <w:rStyle w:val="Uwydatnienie"/>
                <w:rFonts w:ascii="Times New Roman" w:hAnsi="Times New Roman"/>
                <w:i w:val="0"/>
                <w:sz w:val="18"/>
                <w:szCs w:val="18"/>
              </w:rPr>
              <w:t>Frazer</w:t>
            </w:r>
            <w:r w:rsidRPr="009A75EA" w:rsidR="00F03502">
              <w:rPr>
                <w:rStyle w:val="st"/>
                <w:rFonts w:ascii="Times New Roman" w:hAnsi="Times New Roman"/>
                <w:i/>
                <w:sz w:val="18"/>
                <w:szCs w:val="18"/>
              </w:rPr>
              <w:t>,</w:t>
            </w:r>
            <w:r w:rsidRPr="009A75EA" w:rsidR="00F03502">
              <w:rPr>
                <w:rStyle w:val="st"/>
                <w:rFonts w:ascii="Times New Roman" w:hAnsi="Times New Roman"/>
                <w:sz w:val="18"/>
                <w:szCs w:val="18"/>
              </w:rPr>
              <w:t xml:space="preserve"> Złota gałąź, Warszawa 1965, rozdz. III, </w:t>
            </w:r>
            <w:r w:rsidRPr="009A75EA" w:rsidR="00F03502">
              <w:rPr>
                <w:rStyle w:val="Uwydatnienie"/>
                <w:rFonts w:ascii="Times New Roman" w:hAnsi="Times New Roman"/>
                <w:i w:val="0"/>
                <w:sz w:val="18"/>
                <w:szCs w:val="18"/>
              </w:rPr>
              <w:t>Magia sympatyczna</w:t>
            </w:r>
            <w:r w:rsidRPr="009A75EA" w:rsidR="00F03502">
              <w:rPr>
                <w:rStyle w:val="st"/>
                <w:rFonts w:ascii="Times New Roman" w:hAnsi="Times New Roman"/>
                <w:sz w:val="18"/>
                <w:szCs w:val="18"/>
              </w:rPr>
              <w:t>, s. 37-69</w:t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  <w:r w:rsidRPr="009A75EA" w:rsidR="00044884">
              <w:rPr>
                <w:rStyle w:val="wrtext"/>
                <w:rFonts w:ascii="Times New Roman" w:hAnsi="Times New Roman"/>
                <w:sz w:val="18"/>
                <w:szCs w:val="18"/>
              </w:rPr>
              <w:t>E</w:t>
            </w:r>
            <w:r w:rsidRPr="009A75EA" w:rsidR="00313B9F">
              <w:rPr>
                <w:rStyle w:val="wrtext"/>
                <w:rFonts w:ascii="Times New Roman" w:hAnsi="Times New Roman"/>
                <w:sz w:val="18"/>
                <w:szCs w:val="18"/>
              </w:rPr>
              <w:t>.</w:t>
            </w:r>
            <w:r w:rsidRPr="009A75EA" w:rsidR="00314C5B">
              <w:rPr>
                <w:rStyle w:val="wrtext"/>
                <w:rFonts w:ascii="Times New Roman" w:hAnsi="Times New Roman"/>
                <w:sz w:val="18"/>
                <w:szCs w:val="18"/>
              </w:rPr>
              <w:t xml:space="preserve"> </w:t>
            </w:r>
            <w:r w:rsidRPr="009A75EA" w:rsidR="00044884">
              <w:rPr>
                <w:rStyle w:val="wrtext"/>
                <w:rFonts w:ascii="Times New Roman" w:hAnsi="Times New Roman"/>
                <w:sz w:val="18"/>
                <w:szCs w:val="18"/>
              </w:rPr>
              <w:t>Evan Evans-Pritchard, Czarownictwo jako wyjaśnienie nieszczęśliwych wydarzeń [w:] Świat człowieka – świat kultury. Antologia tekstów klasycznej antropologii</w:t>
            </w:r>
            <w:r w:rsidRPr="009A75EA" w:rsidR="00AC40BA">
              <w:rPr>
                <w:rStyle w:val="wrtext"/>
                <w:rFonts w:ascii="Times New Roman" w:hAnsi="Times New Roman"/>
                <w:sz w:val="18"/>
                <w:szCs w:val="18"/>
              </w:rPr>
              <w:t>, red</w:t>
            </w:r>
            <w:r w:rsidRPr="009A75EA" w:rsidR="00044884">
              <w:rPr>
                <w:rStyle w:val="wrtext"/>
                <w:rFonts w:ascii="Times New Roman" w:hAnsi="Times New Roman"/>
                <w:sz w:val="18"/>
                <w:szCs w:val="18"/>
              </w:rPr>
              <w:t>. E</w:t>
            </w:r>
            <w:r w:rsidRPr="009A75EA" w:rsidR="00AC40BA">
              <w:rPr>
                <w:rStyle w:val="wrtext"/>
                <w:rFonts w:ascii="Times New Roman" w:hAnsi="Times New Roman"/>
                <w:sz w:val="18"/>
                <w:szCs w:val="18"/>
              </w:rPr>
              <w:t>.</w:t>
            </w:r>
            <w:r w:rsidRPr="009A75EA" w:rsidR="00044884">
              <w:rPr>
                <w:rStyle w:val="wrtext"/>
                <w:rFonts w:ascii="Times New Roman" w:hAnsi="Times New Roman"/>
                <w:sz w:val="18"/>
                <w:szCs w:val="18"/>
              </w:rPr>
              <w:t xml:space="preserve"> Nowicka</w:t>
            </w:r>
            <w:r w:rsidRPr="009A75EA" w:rsidR="00AC40BA">
              <w:rPr>
                <w:rStyle w:val="wrtext"/>
                <w:rFonts w:ascii="Times New Roman" w:hAnsi="Times New Roman"/>
                <w:sz w:val="18"/>
                <w:szCs w:val="18"/>
              </w:rPr>
              <w:t xml:space="preserve"> i </w:t>
            </w:r>
            <w:r w:rsidRPr="009A75EA" w:rsidR="00044884">
              <w:rPr>
                <w:rStyle w:val="wrtext"/>
                <w:rFonts w:ascii="Times New Roman" w:hAnsi="Times New Roman"/>
                <w:sz w:val="18"/>
                <w:szCs w:val="18"/>
              </w:rPr>
              <w:t>M</w:t>
            </w:r>
            <w:r w:rsidRPr="009A75EA" w:rsidR="00AC40BA">
              <w:rPr>
                <w:rStyle w:val="wrtext"/>
                <w:rFonts w:ascii="Times New Roman" w:hAnsi="Times New Roman"/>
                <w:sz w:val="18"/>
                <w:szCs w:val="18"/>
              </w:rPr>
              <w:t>.</w:t>
            </w:r>
            <w:r w:rsidRPr="009A75EA" w:rsidR="00044884">
              <w:rPr>
                <w:rStyle w:val="wrtext"/>
                <w:rFonts w:ascii="Times New Roman" w:hAnsi="Times New Roman"/>
                <w:sz w:val="18"/>
                <w:szCs w:val="18"/>
              </w:rPr>
              <w:t xml:space="preserve"> Głowacka-Grajper, Warszawa, 2009, s. 621-637.</w:t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  <w:r w:rsidRPr="009A75EA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Prezentacja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: wierzenia pierwotne</w:t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</w:p>
          <w:p w:rsidRPr="009A75EA" w:rsidR="00DA69D4" w:rsidP="00DA69D4" w:rsidRDefault="00DA69D4" w14:paraId="5607311F" wp14:textId="77777777">
            <w:pPr>
              <w:pStyle w:val="BalloonTex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9. Kategorie myślenia pierwotnego. Rytuał.</w:t>
            </w:r>
            <w:r w:rsidRPr="009A75E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  <w:r w:rsidRPr="009A75EA" w:rsidR="00314C5B">
              <w:rPr>
                <w:rFonts w:ascii="Times New Roman" w:hAnsi="Times New Roman"/>
                <w:sz w:val="18"/>
                <w:szCs w:val="18"/>
              </w:rPr>
              <w:t xml:space="preserve">A. </w:t>
            </w:r>
            <w:r w:rsidRPr="009A75EA" w:rsidR="00314C5B">
              <w:rPr>
                <w:rFonts w:ascii="Times New Roman" w:hAnsi="Times New Roman"/>
                <w:color w:val="000000"/>
                <w:sz w:val="18"/>
                <w:szCs w:val="18"/>
              </w:rPr>
              <w:t>V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an Gennep, Obrzędy przejścia, w: Etnologia, red. Zofii Sokolewicz, Warszawa 1969, s.123-137</w:t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V</w:t>
            </w:r>
            <w:r w:rsidRPr="009A75EA" w:rsidR="00000749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A75EA" w:rsidR="00314C5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Turner, Liminalność i communitas, w: Badanie kultury. Kontynuacje, s. 240-267</w:t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  <w:r w:rsidRPr="009A75EA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Prezentacja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: rytuały w kulturze pierwotnej </w:t>
            </w:r>
          </w:p>
          <w:p w:rsidRPr="009A75EA" w:rsidR="00DA69D4" w:rsidP="00DA69D4" w:rsidRDefault="00DA69D4" w14:paraId="7F22DBA8" wp14:textId="77777777">
            <w:pPr>
              <w:pStyle w:val="BalloonText"/>
              <w:rPr>
                <w:rFonts w:ascii="Times New Roman" w:hAnsi="Times New Roman"/>
                <w:sz w:val="18"/>
                <w:szCs w:val="18"/>
              </w:rPr>
            </w:pP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10.  Czas w kulturze. </w:t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Pr="009A75EA" w:rsidR="00AE153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Eliade, Czas święty i mity, w: Antropologia </w:t>
            </w:r>
            <w:r w:rsidRPr="009A75EA" w:rsidR="00143C43">
              <w:rPr>
                <w:rFonts w:ascii="Times New Roman" w:hAnsi="Times New Roman"/>
                <w:color w:val="000000"/>
                <w:sz w:val="18"/>
                <w:szCs w:val="18"/>
              </w:rPr>
              <w:t>kultury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, Zagadnienia i wybór tekstów, red. Andrzej Mencwel, Warszawa 2001, s.105-115</w:t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A</w:t>
            </w:r>
            <w:r w:rsidRPr="009A75EA" w:rsidR="00AE153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Guriewicz, Co to jest czas? w: Antropologia kultury, Zagadnienia i wybór tekstów, red. Andrzej Mencwel, Warszawa 2001, s.115-128</w:t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  <w:r w:rsidRPr="009A75EA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Prezentacja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:  </w:t>
            </w:r>
            <w:r w:rsidRPr="009A75EA" w:rsidR="00B73CD8">
              <w:rPr>
                <w:rFonts w:ascii="Times New Roman" w:hAnsi="Times New Roman"/>
                <w:color w:val="000000"/>
                <w:sz w:val="18"/>
                <w:szCs w:val="18"/>
              </w:rPr>
              <w:t>ś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więta w kulturach archaicznych</w:t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</w:p>
          <w:p w:rsidRPr="009A75EA" w:rsidR="00DA69D4" w:rsidP="00DA69D4" w:rsidRDefault="00DA69D4" w14:paraId="547F0926" wp14:textId="77777777">
            <w:pPr>
              <w:pStyle w:val="BalloonTex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11. Przestrzeń w kulturze.</w:t>
            </w:r>
          </w:p>
          <w:p w:rsidRPr="009A75EA" w:rsidR="00DA69D4" w:rsidP="00DA69D4" w:rsidRDefault="00DA69D4" w14:paraId="68705C2F" wp14:textId="77777777">
            <w:pPr>
              <w:pStyle w:val="BalloonText"/>
              <w:rPr>
                <w:rFonts w:ascii="Times New Roman" w:hAnsi="Times New Roman"/>
                <w:sz w:val="18"/>
                <w:szCs w:val="18"/>
              </w:rPr>
            </w:pP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E</w:t>
            </w:r>
            <w:r w:rsidRPr="009A75EA" w:rsidR="004D0E56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Hall, Ukryty wymiar, w: Antropologia kulturowa. Zagadnienia i wybór tekstów, cz.</w:t>
            </w:r>
            <w:r w:rsidRPr="009A75EA" w:rsidR="00143C4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I. red. Andrzej Mencwel, Warszawa 2001, s.163-180</w:t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Yi-Fu-Tuan, Ciało, relacje międzyludzkie i wartości przestrzenne, w:  Antropologia kulturowa. Zagadnienia i wybór tekstów, cz.</w:t>
            </w:r>
            <w:r w:rsidRPr="009A75EA" w:rsidR="00143C4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I. red. Andrzej Mencwel, Warszawa 2001, s.152-162</w:t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  <w:r w:rsidRPr="009A75EA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Prezentacja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:  </w:t>
            </w:r>
            <w:r w:rsidRPr="009A75EA" w:rsidR="00B73CD8">
              <w:rPr>
                <w:rFonts w:ascii="Times New Roman" w:hAnsi="Times New Roman"/>
                <w:color w:val="000000"/>
                <w:sz w:val="18"/>
                <w:szCs w:val="18"/>
              </w:rPr>
              <w:t>p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iękno w </w:t>
            </w:r>
            <w:r w:rsidRPr="009A75EA" w:rsidR="00B73CD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innych 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kultur</w:t>
            </w:r>
            <w:r w:rsidRPr="009A75EA" w:rsidR="00B73CD8">
              <w:rPr>
                <w:rFonts w:ascii="Times New Roman" w:hAnsi="Times New Roman"/>
                <w:color w:val="000000"/>
                <w:sz w:val="18"/>
                <w:szCs w:val="18"/>
              </w:rPr>
              <w:t>ach</w:t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</w:p>
          <w:p w:rsidRPr="009A75EA" w:rsidR="00DA69D4" w:rsidP="00DA69D4" w:rsidRDefault="00DA69D4" w14:paraId="7D4C9BDE" wp14:textId="77777777">
            <w:pPr>
              <w:pStyle w:val="BalloonTex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12. Płeć kulturowa.</w:t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H. Moore, Płeć kulturowa i status – wyjaśnienie sytuacji kobiet, w: Badanie kultury. Elementy teorii antropologicznej, Warszawa 2005, s.</w:t>
            </w:r>
            <w:r w:rsidRPr="009A75EA" w:rsidR="008E00C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309-326</w:t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  <w:r w:rsidRPr="009A75EA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Prezentacja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: płeć w kulturach </w:t>
            </w:r>
            <w:r w:rsidRPr="009A75EA" w:rsidR="002E52D0">
              <w:rPr>
                <w:rFonts w:ascii="Times New Roman" w:hAnsi="Times New Roman"/>
                <w:color w:val="000000"/>
                <w:sz w:val="18"/>
                <w:szCs w:val="18"/>
              </w:rPr>
              <w:t>tradycyjnych</w:t>
            </w:r>
          </w:p>
          <w:p w:rsidRPr="009A75EA" w:rsidR="00DA69D4" w:rsidP="00DA69D4" w:rsidRDefault="00DA69D4" w14:paraId="78260D1B" wp14:textId="77777777">
            <w:pPr>
              <w:pStyle w:val="BalloonTex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13. Systemy pokrewieństwa w kulturach pierwotnych</w:t>
            </w:r>
            <w:r w:rsidRPr="009A75EA" w:rsidR="00CA5E82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A75E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  <w:r w:rsidRPr="009A75EA" w:rsidR="004828C0">
              <w:rPr>
                <w:rFonts w:ascii="Times New Roman" w:hAnsi="Times New Roman"/>
                <w:color w:val="000000"/>
                <w:sz w:val="18"/>
                <w:szCs w:val="18"/>
              </w:rPr>
              <w:t>B. M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alinowski</w:t>
            </w:r>
            <w:r w:rsidRPr="009A75EA" w:rsidR="006728B4">
              <w:rPr>
                <w:rFonts w:ascii="Times New Roman" w:hAnsi="Times New Roman"/>
                <w:color w:val="000000"/>
                <w:sz w:val="18"/>
                <w:szCs w:val="18"/>
              </w:rPr>
              <w:t>, Małżeństwo, pokrewieństwo, w: Antropologia kulturowa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A75EA" w:rsidR="006728B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Zagadnienia i wybór tekstów, cz.</w:t>
            </w:r>
            <w:r w:rsidRPr="009A75EA" w:rsidR="00143C4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9A75EA" w:rsidR="006728B4">
              <w:rPr>
                <w:rFonts w:ascii="Times New Roman" w:hAnsi="Times New Roman"/>
                <w:color w:val="000000"/>
                <w:sz w:val="18"/>
                <w:szCs w:val="18"/>
              </w:rPr>
              <w:t>I. red. Andrzej Mencwel, Warszawa 2001, s.</w:t>
            </w:r>
            <w:r w:rsidRPr="009A75EA" w:rsidR="00EC6E4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9A75EA" w:rsidR="006728B4">
              <w:rPr>
                <w:rFonts w:ascii="Times New Roman" w:hAnsi="Times New Roman"/>
                <w:color w:val="000000"/>
                <w:sz w:val="18"/>
                <w:szCs w:val="18"/>
              </w:rPr>
              <w:t>222-249</w:t>
            </w:r>
          </w:p>
          <w:p w:rsidRPr="009A75EA" w:rsidR="00CA5E82" w:rsidP="00DA69D4" w:rsidRDefault="00D746F1" w14:paraId="0044ECD3" wp14:textId="77777777">
            <w:pPr>
              <w:pStyle w:val="BalloonTex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75E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</w:t>
            </w:r>
            <w:r w:rsidRPr="009A75EA" w:rsidR="00CA5E82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rezentacja</w:t>
            </w:r>
            <w:r w:rsidRPr="009A75EA" w:rsidR="00CA5E8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: 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reguły zawierania małżeństw w kulturach plemiennych</w:t>
            </w:r>
          </w:p>
          <w:p w:rsidRPr="009A75EA" w:rsidR="00023072" w:rsidP="00DA69D4" w:rsidRDefault="00DA69D4" w14:paraId="5E0AEF85" wp14:textId="77777777">
            <w:pPr>
              <w:pStyle w:val="BalloonTex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14.  C</w:t>
            </w:r>
            <w:r w:rsidRPr="009A75EA" w:rsidR="00023072">
              <w:rPr>
                <w:rFonts w:ascii="Times New Roman" w:hAnsi="Times New Roman"/>
                <w:color w:val="000000"/>
                <w:sz w:val="18"/>
                <w:szCs w:val="18"/>
              </w:rPr>
              <w:t>iało w kulturze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</w:t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Pr="009A75EA" w:rsidR="00314C5B">
              <w:rPr>
                <w:rFonts w:ascii="Times New Roman" w:hAnsi="Times New Roman"/>
                <w:color w:val="000000"/>
                <w:sz w:val="18"/>
                <w:szCs w:val="18"/>
              </w:rPr>
              <w:t>arcel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Mauss , Sposoby posługiwania się ciałem, w: :  Antropologia kulturowa. Zagadnienia i wybór tekstów, cz.</w:t>
            </w:r>
            <w:r w:rsidRPr="009A75EA" w:rsidR="00143C4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I. red. Andrzej Mencwel, Warszawa 2001, s.185-195 </w:t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Pr="009A75EA" w:rsidR="00314C5B">
              <w:rPr>
                <w:rFonts w:ascii="Times New Roman" w:hAnsi="Times New Roman"/>
                <w:color w:val="000000"/>
                <w:sz w:val="18"/>
                <w:szCs w:val="18"/>
              </w:rPr>
              <w:t>ary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Douglas, Czystość i zmaza. Analiza pojęć nieczystości i tabu, rozdz. I-II</w:t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  <w:r w:rsidRPr="009A75EA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Prezentacja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: praktyki seksualne dzikich/ </w:t>
            </w:r>
            <w:r w:rsidRPr="009A75EA" w:rsidR="00143C43">
              <w:rPr>
                <w:rFonts w:ascii="Times New Roman" w:hAnsi="Times New Roman"/>
                <w:color w:val="000000"/>
                <w:sz w:val="18"/>
                <w:szCs w:val="18"/>
              </w:rPr>
              <w:t>nieczystość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w kulturach pierwotnych/przemoc w kulturach pierwotnych</w:t>
            </w:r>
          </w:p>
          <w:p w:rsidRPr="009A75EA" w:rsidR="0005319C" w:rsidP="00DA69D4" w:rsidRDefault="00DA69D4" w14:paraId="130590E3" wp14:textId="77777777">
            <w:pPr>
              <w:pStyle w:val="BalloonTex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13.</w:t>
            </w:r>
            <w:r w:rsidRPr="009A75EA" w:rsidR="000531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Struktura społeczna w kulturach pierwotnych</w:t>
            </w:r>
          </w:p>
          <w:p w:rsidRPr="009A75EA" w:rsidR="00023072" w:rsidP="00DA69D4" w:rsidRDefault="00044884" w14:paraId="35E41468" wp14:textId="77777777">
            <w:pPr>
              <w:pStyle w:val="BalloonText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00"/>
              </w:rPr>
            </w:pPr>
            <w:r w:rsidRPr="009A75EA">
              <w:rPr>
                <w:rStyle w:val="wrtext"/>
                <w:rFonts w:ascii="Times New Roman" w:hAnsi="Times New Roman"/>
                <w:sz w:val="18"/>
                <w:szCs w:val="18"/>
              </w:rPr>
              <w:t>Edward Evan Evans-Pritchard, Wódz w lamparciej skórze [w:] Świat człowieka – świat kultury. Antologia tekstów klasycznej antropologii. Ewa Nowicka, Małgorzata Głowacka-Grajper (wybór i red. naukowa). PWN, Warszawa, 2009, s. 613-620.</w:t>
            </w:r>
          </w:p>
          <w:p w:rsidRPr="009A75EA" w:rsidR="00314C5B" w:rsidP="00DA69D4" w:rsidRDefault="00314C5B" w14:paraId="779F8E76" wp14:textId="77777777">
            <w:pPr>
              <w:pStyle w:val="BalloonTex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Pr="009A75EA" w:rsidR="00314C5B" w:rsidP="00DA69D4" w:rsidRDefault="00DA69D4" w14:paraId="53F870E4" wp14:textId="77777777">
            <w:pPr>
              <w:pStyle w:val="BalloonText"/>
              <w:rPr>
                <w:rFonts w:ascii="Times New Roman" w:hAnsi="Times New Roman"/>
                <w:sz w:val="18"/>
                <w:szCs w:val="18"/>
              </w:rPr>
            </w:pP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14.  Film „Szlachetny dzikus”. Dyskusja</w:t>
            </w:r>
            <w:r w:rsidRPr="009A75EA">
              <w:rPr>
                <w:rFonts w:ascii="Times New Roman" w:hAnsi="Times New Roman"/>
                <w:sz w:val="18"/>
                <w:szCs w:val="18"/>
              </w:rPr>
              <w:br/>
            </w:r>
          </w:p>
          <w:p w:rsidRPr="00357196" w:rsidR="000167D5" w:rsidP="00DA69D4" w:rsidRDefault="00DA69D4" w14:paraId="3E067109" wp14:textId="77777777">
            <w:pPr>
              <w:pStyle w:val="BalloonText"/>
              <w:rPr>
                <w:rFonts w:ascii="Arial" w:hAnsi="Arial" w:cs="Arial"/>
                <w:sz w:val="22"/>
              </w:rPr>
            </w:pP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15.  Omówienie </w:t>
            </w:r>
            <w:r w:rsidRPr="009A75EA" w:rsidR="000531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szkicu </w:t>
            </w:r>
            <w:r w:rsidRPr="009A75EA" w:rsidR="00023072">
              <w:rPr>
                <w:rFonts w:ascii="Times New Roman" w:hAnsi="Times New Roman"/>
                <w:color w:val="000000"/>
                <w:sz w:val="18"/>
                <w:szCs w:val="18"/>
              </w:rPr>
              <w:t>własn</w:t>
            </w:r>
            <w:r w:rsidRPr="009A75EA" w:rsidR="0005319C">
              <w:rPr>
                <w:rFonts w:ascii="Times New Roman" w:hAnsi="Times New Roman"/>
                <w:color w:val="000000"/>
                <w:sz w:val="18"/>
                <w:szCs w:val="18"/>
              </w:rPr>
              <w:t>ego</w:t>
            </w:r>
            <w:r w:rsidRPr="009A75EA" w:rsidR="0002307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projekt</w:t>
            </w:r>
            <w:r w:rsidRPr="009A75EA" w:rsidR="0005319C">
              <w:rPr>
                <w:rFonts w:ascii="Times New Roman" w:hAnsi="Times New Roman"/>
                <w:color w:val="000000"/>
                <w:sz w:val="18"/>
                <w:szCs w:val="18"/>
              </w:rPr>
              <w:t>u</w:t>
            </w:r>
            <w:r w:rsidRPr="009A75EA" w:rsidR="0002307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badawcz</w:t>
            </w:r>
            <w:r w:rsidRPr="009A75EA" w:rsidR="0005319C">
              <w:rPr>
                <w:rFonts w:ascii="Times New Roman" w:hAnsi="Times New Roman"/>
                <w:color w:val="000000"/>
                <w:sz w:val="18"/>
                <w:szCs w:val="18"/>
              </w:rPr>
              <w:t>ego</w:t>
            </w:r>
            <w:r w:rsidRPr="009A75EA" w:rsidR="0002307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9A75EA">
              <w:rPr>
                <w:rFonts w:ascii="Times New Roman" w:hAnsi="Times New Roman"/>
                <w:color w:val="000000"/>
                <w:sz w:val="18"/>
                <w:szCs w:val="18"/>
              </w:rPr>
              <w:t>w grupach</w:t>
            </w:r>
            <w:r w:rsidRPr="009A75EA" w:rsidR="00314C5B">
              <w:rPr>
                <w:rFonts w:ascii="Times New Roman" w:hAnsi="Times New Roman"/>
                <w:color w:val="000000"/>
                <w:sz w:val="18"/>
                <w:szCs w:val="18"/>
              </w:rPr>
              <w:t>. Podsumowanie kursu</w:t>
            </w:r>
          </w:p>
        </w:tc>
      </w:tr>
    </w:tbl>
    <w:p xmlns:wp14="http://schemas.microsoft.com/office/word/2010/wordml" w:rsidRPr="00357196" w:rsidR="000167D5" w:rsidRDefault="000167D5" w14:paraId="7818863E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Pr="00357196" w:rsidR="000167D5" w:rsidRDefault="000167D5" w14:paraId="44F69B9A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Pr="00357196" w:rsidR="000167D5" w:rsidRDefault="000167D5" w14:paraId="349747DD" wp14:textId="77777777">
      <w:pPr>
        <w:rPr>
          <w:rFonts w:ascii="Arial" w:hAnsi="Arial" w:cs="Arial"/>
          <w:sz w:val="22"/>
          <w:szCs w:val="22"/>
        </w:rPr>
      </w:pPr>
      <w:r w:rsidRPr="00357196">
        <w:rPr>
          <w:rFonts w:ascii="Arial" w:hAnsi="Arial" w:cs="Arial"/>
          <w:sz w:val="22"/>
          <w:szCs w:val="22"/>
        </w:rPr>
        <w:t>Wykaz literatury podstawowej</w:t>
      </w:r>
    </w:p>
    <w:p xmlns:wp14="http://schemas.microsoft.com/office/word/2010/wordml" w:rsidRPr="00357196" w:rsidR="000167D5" w:rsidRDefault="000167D5" w14:paraId="5F07D11E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Pr="00506E5B" w:rsidR="000167D5" w14:paraId="7EDD9719" wp14:textId="77777777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622" w:type="dxa"/>
          </w:tcPr>
          <w:p w:rsidRPr="00236A68" w:rsidR="0035415B" w:rsidP="00166329" w:rsidRDefault="00166329" w14:paraId="2AB83B1C" wp14:textId="77777777">
            <w:pPr>
              <w:widowControl/>
              <w:suppressAutoHyphens w:val="0"/>
              <w:autoSpaceDE/>
              <w:spacing w:before="100" w:beforeAutospacing="1" w:after="100" w:afterAutospacing="1"/>
              <w:textAlignment w:val="baseline"/>
              <w:rPr>
                <w:rFonts w:eastAsia="Batang"/>
                <w:color w:val="000000"/>
                <w:sz w:val="18"/>
                <w:szCs w:val="18"/>
                <w:lang w:eastAsia="ko-KR"/>
              </w:rPr>
            </w:pPr>
            <w:r w:rsidRPr="00236A68">
              <w:rPr>
                <w:rFonts w:eastAsia="Batang"/>
                <w:color w:val="000000"/>
                <w:sz w:val="18"/>
                <w:szCs w:val="18"/>
                <w:lang w:eastAsia="ko-KR"/>
              </w:rPr>
              <w:t xml:space="preserve">1. </w:t>
            </w:r>
            <w:r w:rsidRPr="00236A68" w:rsidR="0035415B">
              <w:rPr>
                <w:rFonts w:eastAsia="Batang"/>
                <w:color w:val="000000"/>
                <w:sz w:val="18"/>
                <w:szCs w:val="18"/>
                <w:lang w:eastAsia="ko-KR"/>
              </w:rPr>
              <w:t>Benedict R., Wzory kultury, Warszawa 1966</w:t>
            </w:r>
            <w:r w:rsidRPr="00236A68" w:rsidR="009A75EA">
              <w:rPr>
                <w:rFonts w:eastAsia="Batang"/>
                <w:color w:val="000000"/>
                <w:sz w:val="18"/>
                <w:szCs w:val="18"/>
                <w:lang w:eastAsia="ko-KR"/>
              </w:rPr>
              <w:t xml:space="preserve"> (fragment)</w:t>
            </w:r>
          </w:p>
          <w:p w:rsidRPr="00236A68" w:rsidR="009A75EA" w:rsidP="00166329" w:rsidRDefault="00166329" w14:paraId="143331BB" wp14:textId="77777777">
            <w:pPr>
              <w:widowControl/>
              <w:suppressAutoHyphens w:val="0"/>
              <w:autoSpaceDE/>
              <w:spacing w:before="100" w:beforeAutospacing="1" w:after="100" w:afterAutospacing="1"/>
              <w:textAlignment w:val="baseline"/>
              <w:rPr>
                <w:sz w:val="18"/>
                <w:szCs w:val="18"/>
              </w:rPr>
            </w:pPr>
            <w:r w:rsidRPr="00236A68">
              <w:rPr>
                <w:rFonts w:eastAsia="Batang"/>
                <w:color w:val="000000"/>
                <w:sz w:val="18"/>
                <w:szCs w:val="18"/>
                <w:lang w:eastAsia="ko-KR"/>
              </w:rPr>
              <w:t xml:space="preserve">2. </w:t>
            </w:r>
            <w:r w:rsidRPr="00236A68" w:rsidR="009A75EA">
              <w:rPr>
                <w:sz w:val="18"/>
                <w:szCs w:val="18"/>
              </w:rPr>
              <w:t>Fernandez-Armesto</w:t>
            </w:r>
            <w:r w:rsidRPr="00236A68" w:rsidR="00236A68">
              <w:rPr>
                <w:sz w:val="18"/>
                <w:szCs w:val="18"/>
              </w:rPr>
              <w:t xml:space="preserve"> F.</w:t>
            </w:r>
            <w:r w:rsidRPr="00236A68" w:rsidR="009A75EA">
              <w:rPr>
                <w:sz w:val="18"/>
                <w:szCs w:val="18"/>
              </w:rPr>
              <w:t>, Więc myślisz, że jesteś człowiekiem?, Poznań</w:t>
            </w:r>
            <w:r w:rsidRPr="00236A68" w:rsidR="009A75EA">
              <w:rPr>
                <w:sz w:val="18"/>
                <w:szCs w:val="18"/>
              </w:rPr>
              <w:br/>
            </w:r>
            <w:r w:rsidRPr="00236A68" w:rsidR="009A75EA">
              <w:rPr>
                <w:sz w:val="18"/>
                <w:szCs w:val="18"/>
              </w:rPr>
              <w:t>2006</w:t>
            </w:r>
            <w:r w:rsidRPr="00236A68" w:rsidR="00506E5B">
              <w:rPr>
                <w:sz w:val="18"/>
                <w:szCs w:val="18"/>
              </w:rPr>
              <w:t xml:space="preserve"> </w:t>
            </w:r>
            <w:r w:rsidRPr="00236A68" w:rsidR="00506E5B">
              <w:rPr>
                <w:rFonts w:eastAsia="Batang"/>
                <w:color w:val="000000"/>
                <w:sz w:val="18"/>
                <w:szCs w:val="18"/>
                <w:lang w:eastAsia="ko-KR"/>
              </w:rPr>
              <w:t>(fragment)</w:t>
            </w:r>
          </w:p>
          <w:p w:rsidRPr="00236A68" w:rsidR="0035415B" w:rsidP="00166329" w:rsidRDefault="00166329" w14:paraId="713F1500" wp14:textId="77777777">
            <w:pPr>
              <w:widowControl/>
              <w:suppressAutoHyphens w:val="0"/>
              <w:autoSpaceDE/>
              <w:spacing w:before="100" w:beforeAutospacing="1" w:after="100" w:afterAutospacing="1"/>
              <w:textAlignment w:val="baseline"/>
              <w:rPr>
                <w:rFonts w:eastAsia="Batang"/>
                <w:color w:val="000000"/>
                <w:sz w:val="18"/>
                <w:szCs w:val="18"/>
                <w:lang w:eastAsia="ko-KR"/>
              </w:rPr>
            </w:pPr>
            <w:r w:rsidRPr="00236A68">
              <w:rPr>
                <w:rFonts w:eastAsia="Batang"/>
                <w:color w:val="000000"/>
                <w:sz w:val="18"/>
                <w:szCs w:val="18"/>
                <w:lang w:eastAsia="ko-KR"/>
              </w:rPr>
              <w:t xml:space="preserve">3. </w:t>
            </w:r>
            <w:r w:rsidRPr="00236A68" w:rsidR="0035415B">
              <w:rPr>
                <w:rFonts w:eastAsia="Batang"/>
                <w:color w:val="000000"/>
                <w:sz w:val="18"/>
                <w:szCs w:val="18"/>
                <w:lang w:eastAsia="ko-KR"/>
              </w:rPr>
              <w:t>Levi-Strauss C., Antropologia strukturalna, Warszawa 2001</w:t>
            </w:r>
            <w:r w:rsidRPr="00236A68" w:rsidR="009A75EA">
              <w:rPr>
                <w:rFonts w:eastAsia="Batang"/>
                <w:color w:val="000000"/>
                <w:sz w:val="18"/>
                <w:szCs w:val="18"/>
                <w:lang w:eastAsia="ko-KR"/>
              </w:rPr>
              <w:t xml:space="preserve"> (fragment)</w:t>
            </w:r>
          </w:p>
          <w:p w:rsidRPr="00236A68" w:rsidR="0035415B" w:rsidP="00166329" w:rsidRDefault="009A75EA" w14:paraId="2821DFF1" wp14:textId="77777777">
            <w:pPr>
              <w:widowControl/>
              <w:suppressAutoHyphens w:val="0"/>
              <w:autoSpaceDE/>
              <w:spacing w:before="100" w:beforeAutospacing="1" w:after="100" w:afterAutospacing="1"/>
              <w:textAlignment w:val="baseline"/>
              <w:rPr>
                <w:rFonts w:eastAsia="Batang"/>
                <w:color w:val="000000"/>
                <w:sz w:val="18"/>
                <w:szCs w:val="18"/>
                <w:lang w:eastAsia="ko-KR"/>
              </w:rPr>
            </w:pPr>
            <w:r w:rsidRPr="00236A68">
              <w:rPr>
                <w:rFonts w:eastAsia="Batang"/>
                <w:color w:val="000000"/>
                <w:sz w:val="18"/>
                <w:szCs w:val="18"/>
                <w:lang w:eastAsia="ko-KR"/>
              </w:rPr>
              <w:t>4</w:t>
            </w:r>
            <w:r w:rsidRPr="00236A68" w:rsidR="00166329">
              <w:rPr>
                <w:rFonts w:eastAsia="Batang"/>
                <w:color w:val="000000"/>
                <w:sz w:val="18"/>
                <w:szCs w:val="18"/>
                <w:lang w:eastAsia="ko-KR"/>
              </w:rPr>
              <w:t>.</w:t>
            </w:r>
            <w:r w:rsidRPr="00236A68" w:rsidR="0035415B">
              <w:rPr>
                <w:rFonts w:eastAsia="Batang"/>
                <w:color w:val="000000"/>
                <w:sz w:val="18"/>
                <w:szCs w:val="18"/>
                <w:lang w:eastAsia="ko-KR"/>
              </w:rPr>
              <w:t>Mead M., Trzy studia. Dojrzewanie na Samoa, Warszawa 1986</w:t>
            </w:r>
            <w:r w:rsidRPr="00236A68">
              <w:rPr>
                <w:rFonts w:eastAsia="Batang"/>
                <w:color w:val="000000"/>
                <w:sz w:val="18"/>
                <w:szCs w:val="18"/>
                <w:lang w:eastAsia="ko-KR"/>
              </w:rPr>
              <w:t xml:space="preserve"> (fragment)</w:t>
            </w:r>
          </w:p>
          <w:p w:rsidRPr="00236A68" w:rsidR="0035415B" w:rsidP="00166329" w:rsidRDefault="009A75EA" w14:paraId="518ABB4A" wp14:textId="77777777">
            <w:pPr>
              <w:widowControl/>
              <w:suppressAutoHyphens w:val="0"/>
              <w:autoSpaceDE/>
              <w:spacing w:before="100" w:beforeAutospacing="1" w:after="100" w:afterAutospacing="1"/>
              <w:textAlignment w:val="baseline"/>
              <w:rPr>
                <w:rFonts w:eastAsia="Batang"/>
                <w:color w:val="000000"/>
                <w:sz w:val="18"/>
                <w:szCs w:val="18"/>
                <w:lang w:eastAsia="ko-KR"/>
              </w:rPr>
            </w:pPr>
            <w:r w:rsidRPr="00236A68">
              <w:rPr>
                <w:rFonts w:eastAsia="Batang"/>
                <w:color w:val="000000"/>
                <w:sz w:val="18"/>
                <w:szCs w:val="18"/>
                <w:lang w:eastAsia="ko-KR"/>
              </w:rPr>
              <w:t>5</w:t>
            </w:r>
            <w:r w:rsidRPr="00236A68" w:rsidR="00166329">
              <w:rPr>
                <w:rFonts w:eastAsia="Batang"/>
                <w:color w:val="000000"/>
                <w:sz w:val="18"/>
                <w:szCs w:val="18"/>
                <w:lang w:eastAsia="ko-KR"/>
              </w:rPr>
              <w:t>.</w:t>
            </w:r>
            <w:r w:rsidRPr="00236A68" w:rsidR="0035415B">
              <w:rPr>
                <w:rFonts w:eastAsia="Batang"/>
                <w:color w:val="000000"/>
                <w:sz w:val="18"/>
                <w:szCs w:val="18"/>
                <w:lang w:eastAsia="ko-KR"/>
              </w:rPr>
              <w:t>Turner V., Gry społeczne, pola i metafory, Kraków 2005</w:t>
            </w:r>
            <w:r w:rsidRPr="00236A68">
              <w:rPr>
                <w:rFonts w:eastAsia="Batang"/>
                <w:color w:val="000000"/>
                <w:sz w:val="18"/>
                <w:szCs w:val="18"/>
                <w:lang w:eastAsia="ko-KR"/>
              </w:rPr>
              <w:t xml:space="preserve"> (fragment)</w:t>
            </w:r>
          </w:p>
          <w:p w:rsidRPr="00236A68" w:rsidR="0035415B" w:rsidP="00166329" w:rsidRDefault="009A75EA" w14:paraId="40FC6EF8" wp14:textId="77777777">
            <w:pPr>
              <w:widowControl/>
              <w:suppressAutoHyphens w:val="0"/>
              <w:autoSpaceDE/>
              <w:spacing w:before="100" w:beforeAutospacing="1" w:after="100" w:afterAutospacing="1"/>
              <w:textAlignment w:val="baseline"/>
              <w:rPr>
                <w:rFonts w:eastAsia="Batang"/>
                <w:color w:val="000000"/>
                <w:sz w:val="18"/>
                <w:szCs w:val="18"/>
                <w:lang w:eastAsia="ko-KR"/>
              </w:rPr>
            </w:pPr>
            <w:r w:rsidRPr="00236A68">
              <w:rPr>
                <w:rFonts w:eastAsia="Batang"/>
                <w:color w:val="000000"/>
                <w:sz w:val="18"/>
                <w:szCs w:val="18"/>
                <w:lang w:eastAsia="ko-KR"/>
              </w:rPr>
              <w:t>6</w:t>
            </w:r>
            <w:r w:rsidRPr="00236A68" w:rsidR="00166329">
              <w:rPr>
                <w:rFonts w:eastAsia="Batang"/>
                <w:color w:val="000000"/>
                <w:sz w:val="18"/>
                <w:szCs w:val="18"/>
                <w:lang w:eastAsia="ko-KR"/>
              </w:rPr>
              <w:t>.</w:t>
            </w:r>
            <w:r w:rsidRPr="00236A68" w:rsidR="0035415B">
              <w:rPr>
                <w:rFonts w:eastAsia="Batang"/>
                <w:color w:val="000000"/>
                <w:sz w:val="18"/>
                <w:szCs w:val="18"/>
                <w:lang w:eastAsia="ko-KR"/>
              </w:rPr>
              <w:t>Douglas</w:t>
            </w:r>
            <w:r w:rsidRPr="00236A68" w:rsidR="000C6BD9">
              <w:rPr>
                <w:rFonts w:eastAsia="Batang"/>
                <w:color w:val="000000"/>
                <w:sz w:val="18"/>
                <w:szCs w:val="18"/>
                <w:lang w:eastAsia="ko-KR"/>
              </w:rPr>
              <w:t xml:space="preserve"> M.</w:t>
            </w:r>
            <w:r w:rsidRPr="00236A68" w:rsidR="0035415B">
              <w:rPr>
                <w:rFonts w:eastAsia="Batang"/>
                <w:color w:val="000000"/>
                <w:sz w:val="18"/>
                <w:szCs w:val="18"/>
                <w:lang w:eastAsia="ko-KR"/>
              </w:rPr>
              <w:t>, Czystość i zmaza. Analiza pojęć nieczystości i tabu</w:t>
            </w:r>
            <w:r w:rsidRPr="00236A68" w:rsidR="00E46841">
              <w:rPr>
                <w:rFonts w:eastAsia="Batang"/>
                <w:color w:val="000000"/>
                <w:sz w:val="18"/>
                <w:szCs w:val="18"/>
                <w:lang w:eastAsia="ko-KR"/>
              </w:rPr>
              <w:t>, Warszawa 2007</w:t>
            </w:r>
            <w:r w:rsidRPr="00236A68">
              <w:rPr>
                <w:rFonts w:eastAsia="Batang"/>
                <w:color w:val="000000"/>
                <w:sz w:val="18"/>
                <w:szCs w:val="18"/>
                <w:lang w:eastAsia="ko-KR"/>
              </w:rPr>
              <w:t xml:space="preserve"> (fragment)</w:t>
            </w:r>
          </w:p>
          <w:p w:rsidRPr="00236A68" w:rsidR="00E46841" w:rsidP="00166329" w:rsidRDefault="009A75EA" w14:paraId="5D018B9D" wp14:textId="77777777">
            <w:pPr>
              <w:widowControl/>
              <w:suppressAutoHyphens w:val="0"/>
              <w:autoSpaceDE/>
              <w:spacing w:before="100" w:beforeAutospacing="1" w:after="100" w:afterAutospacing="1"/>
              <w:textAlignment w:val="baseline"/>
              <w:rPr>
                <w:rFonts w:eastAsia="Batang"/>
                <w:color w:val="000000"/>
                <w:sz w:val="18"/>
                <w:szCs w:val="18"/>
                <w:lang w:eastAsia="ko-KR"/>
              </w:rPr>
            </w:pPr>
            <w:r w:rsidRPr="00236A68">
              <w:rPr>
                <w:color w:val="000000"/>
                <w:sz w:val="18"/>
                <w:szCs w:val="18"/>
              </w:rPr>
              <w:t>7</w:t>
            </w:r>
            <w:r w:rsidRPr="00236A68" w:rsidR="00166329">
              <w:rPr>
                <w:color w:val="000000"/>
                <w:sz w:val="18"/>
                <w:szCs w:val="18"/>
              </w:rPr>
              <w:t>.</w:t>
            </w:r>
            <w:r w:rsidRPr="00236A68" w:rsidR="00E46841">
              <w:rPr>
                <w:color w:val="000000"/>
                <w:sz w:val="18"/>
                <w:szCs w:val="18"/>
              </w:rPr>
              <w:t>Fukuyama F., Koniec człowieka. Konsekwencje rewolucji biotechnologicznej, Kraków 2004</w:t>
            </w:r>
            <w:r w:rsidRPr="00236A68">
              <w:rPr>
                <w:color w:val="000000"/>
                <w:sz w:val="18"/>
                <w:szCs w:val="18"/>
              </w:rPr>
              <w:t xml:space="preserve"> </w:t>
            </w:r>
            <w:r w:rsidRPr="00236A68">
              <w:rPr>
                <w:rFonts w:eastAsia="Batang"/>
                <w:color w:val="000000"/>
                <w:sz w:val="18"/>
                <w:szCs w:val="18"/>
                <w:lang w:eastAsia="ko-KR"/>
              </w:rPr>
              <w:t>(fragment)</w:t>
            </w:r>
            <w:r w:rsidRPr="00236A68" w:rsidR="00E46841">
              <w:rPr>
                <w:rFonts w:eastAsia="Batang"/>
                <w:color w:val="000000"/>
                <w:sz w:val="18"/>
                <w:szCs w:val="18"/>
                <w:shd w:val="clear" w:color="auto" w:fill="FFFF00"/>
                <w:lang w:eastAsia="ko-KR"/>
              </w:rPr>
              <w:t xml:space="preserve"> </w:t>
            </w:r>
          </w:p>
          <w:p w:rsidRPr="00236A68" w:rsidR="0035415B" w:rsidP="00166329" w:rsidRDefault="009A75EA" w14:paraId="6B1FF1FE" wp14:textId="77777777">
            <w:pPr>
              <w:widowControl/>
              <w:suppressAutoHyphens w:val="0"/>
              <w:autoSpaceDE/>
              <w:spacing w:before="100" w:beforeAutospacing="1" w:after="100" w:afterAutospacing="1"/>
              <w:textAlignment w:val="baseline"/>
              <w:rPr>
                <w:rFonts w:eastAsia="Batang"/>
                <w:color w:val="000000"/>
                <w:sz w:val="18"/>
                <w:szCs w:val="18"/>
                <w:lang w:eastAsia="ko-KR"/>
              </w:rPr>
            </w:pPr>
            <w:r w:rsidRPr="00236A68">
              <w:rPr>
                <w:rFonts w:eastAsia="Batang"/>
                <w:color w:val="000000"/>
                <w:sz w:val="18"/>
                <w:szCs w:val="18"/>
                <w:lang w:eastAsia="ko-KR"/>
              </w:rPr>
              <w:t>8</w:t>
            </w:r>
            <w:r w:rsidRPr="00236A68" w:rsidR="00166329">
              <w:rPr>
                <w:rFonts w:eastAsia="Batang"/>
                <w:color w:val="000000"/>
                <w:sz w:val="18"/>
                <w:szCs w:val="18"/>
                <w:lang w:eastAsia="ko-KR"/>
              </w:rPr>
              <w:t>.</w:t>
            </w:r>
            <w:r w:rsidRPr="00236A68" w:rsidR="006A0B95">
              <w:rPr>
                <w:rFonts w:eastAsia="Batang"/>
                <w:color w:val="000000"/>
                <w:sz w:val="18"/>
                <w:szCs w:val="18"/>
                <w:lang w:eastAsia="ko-KR"/>
              </w:rPr>
              <w:t>Evans-Pritchard E., Czary, wyrocznie i magia u Azande, Warszawa 2008</w:t>
            </w:r>
            <w:r w:rsidRPr="00236A68" w:rsidR="006663BF">
              <w:rPr>
                <w:rFonts w:eastAsia="Batang"/>
                <w:color w:val="000000"/>
                <w:sz w:val="18"/>
                <w:szCs w:val="18"/>
                <w:shd w:val="clear" w:color="auto" w:fill="FFFFFF"/>
                <w:lang w:eastAsia="ko-KR"/>
              </w:rPr>
              <w:t xml:space="preserve"> </w:t>
            </w:r>
            <w:r w:rsidRPr="00236A68">
              <w:rPr>
                <w:rFonts w:eastAsia="Batang"/>
                <w:color w:val="000000"/>
                <w:sz w:val="18"/>
                <w:szCs w:val="18"/>
                <w:lang w:eastAsia="ko-KR"/>
              </w:rPr>
              <w:t>(fragment)</w:t>
            </w:r>
          </w:p>
          <w:p w:rsidRPr="00236A68" w:rsidR="000C6BD9" w:rsidP="00166329" w:rsidRDefault="009A75EA" w14:paraId="11AEC2FB" wp14:textId="77777777">
            <w:pPr>
              <w:widowControl/>
              <w:suppressAutoHyphens w:val="0"/>
              <w:autoSpaceDE/>
              <w:spacing w:before="100" w:beforeAutospacing="1" w:after="100" w:afterAutospacing="1"/>
              <w:textAlignment w:val="baseline"/>
              <w:rPr>
                <w:rFonts w:eastAsia="Batang"/>
                <w:color w:val="000000"/>
                <w:sz w:val="18"/>
                <w:szCs w:val="18"/>
                <w:lang w:eastAsia="ko-KR"/>
              </w:rPr>
            </w:pPr>
            <w:r w:rsidRPr="00236A68">
              <w:rPr>
                <w:rFonts w:eastAsia="Batang"/>
                <w:color w:val="000000"/>
                <w:sz w:val="18"/>
                <w:szCs w:val="18"/>
                <w:lang w:eastAsia="ko-KR"/>
              </w:rPr>
              <w:t>9</w:t>
            </w:r>
            <w:r w:rsidRPr="00236A68" w:rsidR="00166329">
              <w:rPr>
                <w:rFonts w:eastAsia="Batang"/>
                <w:color w:val="000000"/>
                <w:sz w:val="18"/>
                <w:szCs w:val="18"/>
                <w:lang w:eastAsia="ko-KR"/>
              </w:rPr>
              <w:t>.</w:t>
            </w:r>
            <w:r w:rsidRPr="00236A68" w:rsidR="0035415B">
              <w:rPr>
                <w:rFonts w:eastAsia="Batang"/>
                <w:color w:val="000000"/>
                <w:sz w:val="18"/>
                <w:szCs w:val="18"/>
                <w:lang w:eastAsia="ko-KR"/>
              </w:rPr>
              <w:t>Bagby</w:t>
            </w:r>
            <w:r w:rsidRPr="00236A68" w:rsidR="00551A4F">
              <w:rPr>
                <w:rFonts w:eastAsia="Batang"/>
                <w:color w:val="000000"/>
                <w:sz w:val="18"/>
                <w:szCs w:val="18"/>
                <w:lang w:eastAsia="ko-KR"/>
              </w:rPr>
              <w:t xml:space="preserve"> Ph.</w:t>
            </w:r>
            <w:r w:rsidRPr="00236A68" w:rsidR="0035415B">
              <w:rPr>
                <w:rFonts w:eastAsia="Batang"/>
                <w:color w:val="000000"/>
                <w:sz w:val="18"/>
                <w:szCs w:val="18"/>
                <w:lang w:eastAsia="ko-KR"/>
              </w:rPr>
              <w:t>,</w:t>
            </w:r>
            <w:r w:rsidRPr="00236A68" w:rsidR="006663BF">
              <w:rPr>
                <w:rFonts w:eastAsia="Batang"/>
                <w:color w:val="000000"/>
                <w:sz w:val="18"/>
                <w:szCs w:val="18"/>
                <w:lang w:eastAsia="ko-KR"/>
              </w:rPr>
              <w:t xml:space="preserve"> Kultura i historia. Prolegomena do porównawczego badania cywilizacji, Warszawa</w:t>
            </w:r>
            <w:r w:rsidRPr="00236A68" w:rsidR="00D86E49">
              <w:rPr>
                <w:rFonts w:eastAsia="Batang"/>
                <w:color w:val="000000"/>
                <w:sz w:val="18"/>
                <w:szCs w:val="18"/>
                <w:lang w:eastAsia="ko-KR"/>
              </w:rPr>
              <w:t> </w:t>
            </w:r>
            <w:r w:rsidRPr="00236A68" w:rsidR="006663BF">
              <w:rPr>
                <w:rFonts w:eastAsia="Batang"/>
                <w:color w:val="000000"/>
                <w:sz w:val="18"/>
                <w:szCs w:val="18"/>
                <w:lang w:eastAsia="ko-KR"/>
              </w:rPr>
              <w:t>1958</w:t>
            </w:r>
            <w:r w:rsidRPr="00236A68">
              <w:rPr>
                <w:rFonts w:eastAsia="Batang"/>
                <w:color w:val="000000"/>
                <w:sz w:val="18"/>
                <w:szCs w:val="18"/>
                <w:lang w:eastAsia="ko-KR"/>
              </w:rPr>
              <w:t xml:space="preserve"> (fragment)</w:t>
            </w:r>
          </w:p>
          <w:p w:rsidRPr="00236A68" w:rsidR="00506E5B" w:rsidP="00166329" w:rsidRDefault="009A75EA" w14:paraId="656929AE" wp14:textId="77777777">
            <w:pPr>
              <w:widowControl/>
              <w:suppressAutoHyphens w:val="0"/>
              <w:autoSpaceDE/>
              <w:spacing w:before="100" w:beforeAutospacing="1" w:after="100" w:afterAutospacing="1"/>
              <w:textAlignment w:val="baseline"/>
              <w:rPr>
                <w:rFonts w:eastAsia="Batang"/>
                <w:color w:val="000000"/>
                <w:sz w:val="18"/>
                <w:szCs w:val="18"/>
                <w:lang w:eastAsia="ko-KR"/>
              </w:rPr>
            </w:pPr>
            <w:r w:rsidRPr="00236A68">
              <w:rPr>
                <w:rFonts w:eastAsia="Batang"/>
                <w:color w:val="000000"/>
                <w:sz w:val="18"/>
                <w:szCs w:val="18"/>
                <w:lang w:eastAsia="ko-KR"/>
              </w:rPr>
              <w:t>10</w:t>
            </w:r>
            <w:r w:rsidRPr="00236A68" w:rsidR="00166329">
              <w:rPr>
                <w:rFonts w:eastAsia="Batang"/>
                <w:color w:val="000000"/>
                <w:sz w:val="18"/>
                <w:szCs w:val="18"/>
                <w:lang w:eastAsia="ko-KR"/>
              </w:rPr>
              <w:t>.</w:t>
            </w:r>
            <w:r w:rsidRPr="00236A68" w:rsidR="0035415B">
              <w:rPr>
                <w:rFonts w:eastAsia="Batang"/>
                <w:color w:val="000000"/>
                <w:sz w:val="18"/>
                <w:szCs w:val="18"/>
                <w:lang w:eastAsia="ko-KR"/>
              </w:rPr>
              <w:t>Leakey</w:t>
            </w:r>
            <w:r w:rsidRPr="00236A68" w:rsidR="000C6BD9">
              <w:rPr>
                <w:rFonts w:eastAsia="Batang"/>
                <w:color w:val="000000"/>
                <w:sz w:val="18"/>
                <w:szCs w:val="18"/>
                <w:lang w:eastAsia="ko-KR"/>
              </w:rPr>
              <w:t xml:space="preserve"> R</w:t>
            </w:r>
            <w:r w:rsidRPr="00236A68" w:rsidR="0035415B">
              <w:rPr>
                <w:rFonts w:eastAsia="Batang"/>
                <w:color w:val="000000"/>
                <w:sz w:val="18"/>
                <w:szCs w:val="18"/>
                <w:lang w:eastAsia="ko-KR"/>
              </w:rPr>
              <w:t>.</w:t>
            </w:r>
            <w:r w:rsidRPr="00236A68" w:rsidR="000C6BD9">
              <w:rPr>
                <w:rFonts w:eastAsia="Batang"/>
                <w:color w:val="000000"/>
                <w:sz w:val="18"/>
                <w:szCs w:val="18"/>
                <w:lang w:eastAsia="ko-KR"/>
              </w:rPr>
              <w:t>,</w:t>
            </w:r>
            <w:r w:rsidRPr="00236A68" w:rsidR="0035415B">
              <w:rPr>
                <w:rFonts w:eastAsia="Batang"/>
                <w:color w:val="000000"/>
                <w:sz w:val="18"/>
                <w:szCs w:val="18"/>
                <w:lang w:eastAsia="ko-KR"/>
              </w:rPr>
              <w:t xml:space="preserve"> Pochodzenie człowieka. Warszawa 1995</w:t>
            </w:r>
            <w:r w:rsidRPr="00236A68">
              <w:rPr>
                <w:rFonts w:eastAsia="Batang"/>
                <w:color w:val="000000"/>
                <w:sz w:val="18"/>
                <w:szCs w:val="18"/>
                <w:lang w:eastAsia="ko-KR"/>
              </w:rPr>
              <w:t xml:space="preserve"> (fragment)</w:t>
            </w:r>
          </w:p>
          <w:p w:rsidRPr="00236A68" w:rsidR="00506E5B" w:rsidP="00506E5B" w:rsidRDefault="00166329" w14:paraId="02A0FC61" wp14:textId="77777777">
            <w:pPr>
              <w:widowControl/>
              <w:suppressAutoHyphens w:val="0"/>
              <w:autoSpaceDE/>
              <w:spacing w:before="100" w:beforeAutospacing="1" w:after="100" w:afterAutospacing="1"/>
              <w:textAlignment w:val="baseline"/>
              <w:rPr>
                <w:rFonts w:eastAsia="Batang"/>
                <w:color w:val="000000"/>
                <w:sz w:val="18"/>
                <w:szCs w:val="18"/>
                <w:lang w:eastAsia="ko-KR"/>
              </w:rPr>
            </w:pPr>
            <w:r w:rsidRPr="00236A68">
              <w:rPr>
                <w:color w:val="000000"/>
                <w:sz w:val="18"/>
                <w:szCs w:val="18"/>
              </w:rPr>
              <w:t>1</w:t>
            </w:r>
            <w:r w:rsidRPr="00236A68" w:rsidR="009A75EA">
              <w:rPr>
                <w:color w:val="000000"/>
                <w:sz w:val="18"/>
                <w:szCs w:val="18"/>
              </w:rPr>
              <w:t>1</w:t>
            </w:r>
            <w:r w:rsidRPr="00236A68">
              <w:rPr>
                <w:color w:val="000000"/>
                <w:sz w:val="18"/>
                <w:szCs w:val="18"/>
              </w:rPr>
              <w:t>.</w:t>
            </w:r>
            <w:r w:rsidRPr="00236A68" w:rsidR="0035415B">
              <w:rPr>
                <w:color w:val="000000"/>
                <w:sz w:val="18"/>
                <w:szCs w:val="18"/>
              </w:rPr>
              <w:t>Levy-Bruhl</w:t>
            </w:r>
            <w:r w:rsidRPr="00236A68" w:rsidR="000C6BD9">
              <w:rPr>
                <w:color w:val="000000"/>
                <w:sz w:val="18"/>
                <w:szCs w:val="18"/>
              </w:rPr>
              <w:t xml:space="preserve"> L.,</w:t>
            </w:r>
            <w:r w:rsidRPr="00236A68" w:rsidR="00587333">
              <w:rPr>
                <w:color w:val="000000"/>
                <w:sz w:val="18"/>
                <w:szCs w:val="18"/>
              </w:rPr>
              <w:t xml:space="preserve"> Czynności umysłowe w społeczeństwach pierwotnych, Warszawa 1992</w:t>
            </w:r>
            <w:r w:rsidRPr="00236A68" w:rsidR="009A75EA">
              <w:rPr>
                <w:color w:val="000000"/>
                <w:sz w:val="18"/>
                <w:szCs w:val="18"/>
              </w:rPr>
              <w:t xml:space="preserve"> </w:t>
            </w:r>
            <w:r w:rsidRPr="00236A68" w:rsidR="009A75EA">
              <w:rPr>
                <w:rFonts w:eastAsia="Batang"/>
                <w:color w:val="000000"/>
                <w:sz w:val="18"/>
                <w:szCs w:val="18"/>
                <w:lang w:eastAsia="ko-KR"/>
              </w:rPr>
              <w:t>(fragment)</w:t>
            </w:r>
          </w:p>
          <w:p w:rsidRPr="00236A68" w:rsidR="00506E5B" w:rsidP="00506E5B" w:rsidRDefault="00587333" w14:paraId="735DE459" wp14:textId="77777777">
            <w:pPr>
              <w:widowControl/>
              <w:suppressAutoHyphens w:val="0"/>
              <w:autoSpaceDE/>
              <w:spacing w:before="100" w:beforeAutospacing="1" w:after="100" w:afterAutospacing="1"/>
              <w:textAlignment w:val="baseline"/>
              <w:rPr>
                <w:rFonts w:eastAsia="Batang"/>
                <w:color w:val="000000"/>
                <w:sz w:val="18"/>
                <w:szCs w:val="18"/>
                <w:lang w:eastAsia="ko-KR"/>
              </w:rPr>
            </w:pPr>
            <w:r w:rsidRPr="00236A68">
              <w:rPr>
                <w:color w:val="000000"/>
                <w:sz w:val="18"/>
                <w:szCs w:val="18"/>
              </w:rPr>
              <w:t>1</w:t>
            </w:r>
            <w:r w:rsidRPr="00236A68" w:rsidR="009A75EA">
              <w:rPr>
                <w:color w:val="000000"/>
                <w:sz w:val="18"/>
                <w:szCs w:val="18"/>
              </w:rPr>
              <w:t>2</w:t>
            </w:r>
            <w:r w:rsidRPr="00236A68">
              <w:rPr>
                <w:color w:val="000000"/>
                <w:sz w:val="18"/>
                <w:szCs w:val="18"/>
              </w:rPr>
              <w:t>. Ortega y Gasset J., Bunt mas, [w:] Ortega y Gasset J., Bunt masi inne pisma socjologiczne, Warszawa 1982</w:t>
            </w:r>
            <w:r w:rsidRPr="00236A68">
              <w:rPr>
                <w:sz w:val="18"/>
                <w:szCs w:val="18"/>
              </w:rPr>
              <w:t xml:space="preserve"> </w:t>
            </w:r>
            <w:r w:rsidRPr="00236A68" w:rsidR="009A75EA">
              <w:rPr>
                <w:rFonts w:eastAsia="Batang"/>
                <w:color w:val="000000"/>
                <w:sz w:val="18"/>
                <w:szCs w:val="18"/>
                <w:lang w:eastAsia="ko-KR"/>
              </w:rPr>
              <w:t>(fragment)</w:t>
            </w:r>
          </w:p>
          <w:p w:rsidRPr="00236A68" w:rsidR="00506E5B" w:rsidP="00506E5B" w:rsidRDefault="00506E5B" w14:paraId="6D971022" wp14:textId="77777777">
            <w:pPr>
              <w:widowControl/>
              <w:suppressAutoHyphens w:val="0"/>
              <w:autoSpaceDE/>
              <w:spacing w:before="100" w:beforeAutospacing="1" w:after="100" w:afterAutospacing="1"/>
              <w:textAlignment w:val="baseline"/>
              <w:rPr>
                <w:rFonts w:eastAsia="Batang"/>
                <w:color w:val="000000"/>
                <w:sz w:val="18"/>
                <w:szCs w:val="18"/>
                <w:lang w:eastAsia="ko-KR"/>
              </w:rPr>
            </w:pPr>
            <w:r w:rsidRPr="00236A68">
              <w:rPr>
                <w:rFonts w:eastAsia="Batang"/>
                <w:color w:val="000000"/>
                <w:sz w:val="18"/>
                <w:szCs w:val="18"/>
                <w:lang w:val="en-US" w:eastAsia="ko-KR"/>
              </w:rPr>
              <w:t xml:space="preserve">13. Eliade M., Sacrum, mit, historia. </w:t>
            </w:r>
            <w:r w:rsidRPr="00236A68">
              <w:rPr>
                <w:rFonts w:eastAsia="Batang"/>
                <w:color w:val="000000"/>
                <w:sz w:val="18"/>
                <w:szCs w:val="18"/>
                <w:lang w:eastAsia="ko-KR"/>
              </w:rPr>
              <w:t>Wybór esejów, Warszawa 1974 (fragment)</w:t>
            </w:r>
          </w:p>
          <w:p w:rsidRPr="00236A68" w:rsidR="00506E5B" w:rsidP="00506E5B" w:rsidRDefault="00506E5B" w14:paraId="29D8B8E9" wp14:textId="77777777">
            <w:pPr>
              <w:widowControl/>
              <w:suppressAutoHyphens w:val="0"/>
              <w:autoSpaceDE/>
              <w:spacing w:before="100" w:beforeAutospacing="1" w:after="100" w:afterAutospacing="1"/>
              <w:textAlignment w:val="baseline"/>
              <w:rPr>
                <w:rFonts w:eastAsia="Batang"/>
                <w:color w:val="000000"/>
                <w:sz w:val="18"/>
                <w:szCs w:val="18"/>
                <w:lang w:eastAsia="ko-KR"/>
              </w:rPr>
            </w:pPr>
            <w:r w:rsidRPr="00236A68">
              <w:rPr>
                <w:rFonts w:eastAsia="Batang"/>
                <w:color w:val="000000"/>
                <w:sz w:val="18"/>
                <w:szCs w:val="18"/>
                <w:lang w:eastAsia="ko-KR"/>
              </w:rPr>
              <w:t>14. Guriewicz A., Kategorie kultury redniowiecznej, Warszawa 1976 (fragment)</w:t>
            </w:r>
          </w:p>
          <w:p w:rsidRPr="00236A68" w:rsidR="00FE45CE" w:rsidP="00506E5B" w:rsidRDefault="00FE45CE" w14:paraId="52F48524" wp14:textId="77777777">
            <w:pPr>
              <w:widowControl/>
              <w:suppressAutoHyphens w:val="0"/>
              <w:autoSpaceDE/>
              <w:spacing w:before="100" w:beforeAutospacing="1" w:after="100" w:afterAutospacing="1"/>
              <w:textAlignment w:val="baseline"/>
              <w:rPr>
                <w:rFonts w:eastAsia="Batang"/>
                <w:color w:val="000000"/>
                <w:sz w:val="18"/>
                <w:szCs w:val="18"/>
                <w:lang w:eastAsia="ko-KR"/>
              </w:rPr>
            </w:pPr>
            <w:r w:rsidRPr="00236A68">
              <w:rPr>
                <w:rFonts w:eastAsia="Batang"/>
                <w:color w:val="000000"/>
                <w:sz w:val="18"/>
                <w:szCs w:val="18"/>
                <w:lang w:eastAsia="ko-KR"/>
              </w:rPr>
              <w:t>15. Mauss M., Sociologia i antropologia, Warszawa 1973 (fragment)</w:t>
            </w:r>
          </w:p>
          <w:p w:rsidRPr="00506E5B" w:rsidR="00506E5B" w:rsidP="00166329" w:rsidRDefault="00FE45CE" w14:paraId="7C64989E" wp14:textId="77777777">
            <w:pPr>
              <w:rPr>
                <w:rFonts w:ascii="Arial" w:hAnsi="Arial" w:cs="Arial"/>
                <w:sz w:val="22"/>
                <w:szCs w:val="16"/>
              </w:rPr>
            </w:pPr>
            <w:r w:rsidRPr="00236A68">
              <w:rPr>
                <w:rFonts w:eastAsia="Batang"/>
                <w:color w:val="000000"/>
                <w:sz w:val="18"/>
                <w:szCs w:val="18"/>
                <w:lang w:eastAsia="ko-KR"/>
              </w:rPr>
              <w:t>16. Yi-Fu Tuan, Przestrzeń i miejsce, Warszawa 1987 (fragment)</w:t>
            </w:r>
          </w:p>
        </w:tc>
      </w:tr>
    </w:tbl>
    <w:p xmlns:wp14="http://schemas.microsoft.com/office/word/2010/wordml" w:rsidRPr="00506E5B" w:rsidR="000167D5" w:rsidRDefault="000167D5" w14:paraId="41508A3C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Pr="00357196" w:rsidR="000167D5" w:rsidRDefault="000167D5" w14:paraId="59EC7B3D" wp14:textId="77777777">
      <w:pPr>
        <w:rPr>
          <w:rFonts w:ascii="Arial" w:hAnsi="Arial" w:cs="Arial"/>
          <w:sz w:val="22"/>
          <w:szCs w:val="16"/>
        </w:rPr>
      </w:pPr>
      <w:r w:rsidRPr="00357196">
        <w:rPr>
          <w:rFonts w:ascii="Arial" w:hAnsi="Arial" w:cs="Arial"/>
          <w:sz w:val="22"/>
          <w:szCs w:val="16"/>
        </w:rPr>
        <w:t>Wykaz literatury uzupełniającej</w:t>
      </w:r>
    </w:p>
    <w:p xmlns:wp14="http://schemas.microsoft.com/office/word/2010/wordml" w:rsidRPr="00357196" w:rsidR="000167D5" w:rsidRDefault="000167D5" w14:paraId="43D6B1D6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Pr="00357196" w:rsidR="000167D5" w14:paraId="2705F72F" wp14:textId="77777777">
        <w:tblPrEx>
          <w:tblCellMar>
            <w:top w:w="0" w:type="dxa"/>
            <w:bottom w:w="0" w:type="dxa"/>
          </w:tblCellMar>
        </w:tblPrEx>
        <w:trPr>
          <w:trHeight w:val="1112"/>
        </w:trPr>
        <w:tc>
          <w:tcPr>
            <w:tcW w:w="9622" w:type="dxa"/>
          </w:tcPr>
          <w:p w:rsidRPr="00357196" w:rsidR="00606089" w:rsidP="00343A95" w:rsidRDefault="00C018EC" w14:paraId="4AD614A1" wp14:textId="7777777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1. </w:t>
            </w:r>
            <w:r w:rsidRPr="00357196" w:rsidR="00606089">
              <w:rPr>
                <w:rFonts w:ascii="Calibri" w:hAnsi="Calibri"/>
                <w:color w:val="000000"/>
                <w:sz w:val="18"/>
                <w:szCs w:val="18"/>
              </w:rPr>
              <w:t>Appadurai A., Nowoczesność bez granic. Kulturowe wymiary globalizacji, Kraków 2005</w:t>
            </w:r>
          </w:p>
          <w:p w:rsidR="009A75EA" w:rsidP="009A75EA" w:rsidRDefault="00C018EC" w14:paraId="612E692D" wp14:textId="77777777">
            <w:pPr>
              <w:spacing w:line="360" w:lineRule="auto"/>
              <w:rPr>
                <w:rFonts w:ascii="Calibri" w:hAnsi="Calibri" w:eastAsia="Batang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2. </w:t>
            </w:r>
            <w:r w:rsidRPr="00357196" w:rsidR="009A75EA">
              <w:rPr>
                <w:rFonts w:ascii="Calibri" w:hAnsi="Calibri" w:eastAsia="Batang"/>
                <w:color w:val="000000"/>
                <w:sz w:val="18"/>
                <w:szCs w:val="18"/>
                <w:lang w:eastAsia="ko-KR"/>
              </w:rPr>
              <w:t>Frazer J., Złota gałąź, Warszawa 1965</w:t>
            </w:r>
          </w:p>
          <w:p w:rsidR="009A75EA" w:rsidP="009A75EA" w:rsidRDefault="009A75EA" w14:paraId="7A06AD4B" wp14:textId="77777777">
            <w:pPr>
              <w:spacing w:line="360" w:lineRule="auto"/>
              <w:rPr>
                <w:rFonts w:ascii="Calibri" w:hAnsi="Calibri" w:eastAsia="Batang"/>
                <w:color w:val="000000"/>
                <w:sz w:val="18"/>
                <w:szCs w:val="18"/>
                <w:lang w:eastAsia="ko-KR"/>
              </w:rPr>
            </w:pPr>
            <w:r>
              <w:rPr>
                <w:sz w:val="18"/>
                <w:szCs w:val="18"/>
              </w:rPr>
              <w:t>3</w:t>
            </w:r>
            <w:r w:rsidR="00C018EC">
              <w:rPr>
                <w:sz w:val="18"/>
                <w:szCs w:val="18"/>
              </w:rPr>
              <w:t>.</w:t>
            </w:r>
            <w:r w:rsidRPr="00357196">
              <w:rPr>
                <w:rFonts w:ascii="Calibri" w:hAnsi="Calibri" w:eastAsia="Batang"/>
                <w:color w:val="000000"/>
                <w:sz w:val="18"/>
                <w:szCs w:val="18"/>
                <w:lang w:eastAsia="ko-KR"/>
              </w:rPr>
              <w:t xml:space="preserve"> Geertz C., Interpretacja kultur. Wybrane eseje, Kraków 2005.</w:t>
            </w:r>
          </w:p>
          <w:p w:rsidRPr="00357196" w:rsidR="009A75EA" w:rsidP="009A75EA" w:rsidRDefault="009A75EA" w14:paraId="15164D89" wp14:textId="77777777">
            <w:pPr>
              <w:spacing w:line="360" w:lineRule="auto"/>
              <w:rPr>
                <w:rFonts w:eastAsia="Batang"/>
                <w:color w:val="000000"/>
                <w:sz w:val="16"/>
                <w:szCs w:val="16"/>
                <w:lang w:eastAsia="ko-KR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</w:t>
            </w:r>
            <w:r w:rsidR="00C018EC">
              <w:rPr>
                <w:rFonts w:ascii="Calibri" w:hAnsi="Calibri"/>
                <w:color w:val="000000"/>
                <w:sz w:val="18"/>
                <w:szCs w:val="18"/>
              </w:rPr>
              <w:t xml:space="preserve">. </w:t>
            </w:r>
            <w:r w:rsidRPr="00357196">
              <w:rPr>
                <w:rFonts w:ascii="Calibri" w:hAnsi="Calibri" w:eastAsia="Batang"/>
                <w:color w:val="000000"/>
                <w:sz w:val="18"/>
                <w:szCs w:val="18"/>
                <w:lang w:eastAsia="ko-KR"/>
              </w:rPr>
              <w:t>Gennep A. van. Obrzędy przejścia. Systematyczne studium ceremonii, Warszawa 2006.</w:t>
            </w:r>
          </w:p>
          <w:p w:rsidRPr="00357196" w:rsidR="00606089" w:rsidP="00343A95" w:rsidRDefault="009A75EA" w14:paraId="69A9CD4E" wp14:textId="7777777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018EC">
              <w:rPr>
                <w:sz w:val="18"/>
                <w:szCs w:val="18"/>
              </w:rPr>
              <w:t xml:space="preserve">. </w:t>
            </w:r>
            <w:r w:rsidRPr="00357196" w:rsidR="00606089">
              <w:rPr>
                <w:rFonts w:ascii="Calibri" w:hAnsi="Calibri"/>
                <w:color w:val="000000"/>
                <w:sz w:val="18"/>
                <w:szCs w:val="18"/>
              </w:rPr>
              <w:t>Le Goff, Czas Kościoła i Czas kupca, w: Czas w kulturze, A. Zajączkowski (red.), Warszawa 1988, s. 331-355</w:t>
            </w:r>
            <w:r w:rsidRPr="00357196" w:rsidR="00606089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6</w:t>
            </w:r>
            <w:r w:rsidR="00C018EC">
              <w:rPr>
                <w:sz w:val="18"/>
                <w:szCs w:val="18"/>
              </w:rPr>
              <w:t xml:space="preserve">. </w:t>
            </w:r>
            <w:r w:rsidRPr="00357196" w:rsidR="00606089">
              <w:rPr>
                <w:rFonts w:ascii="Calibri" w:hAnsi="Calibri"/>
                <w:color w:val="000000"/>
                <w:sz w:val="18"/>
                <w:szCs w:val="18"/>
              </w:rPr>
              <w:t>Hall E., Ukryty wymiar, Warszawa, 2001</w:t>
            </w:r>
          </w:p>
          <w:p w:rsidRPr="00357196" w:rsidR="009A75EA" w:rsidP="00343A95" w:rsidRDefault="009A75EA" w14:paraId="0A3D2B42" wp14:textId="7777777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</w:t>
            </w:r>
            <w:r w:rsidR="00C018EC">
              <w:rPr>
                <w:rFonts w:ascii="Calibri" w:hAnsi="Calibri"/>
                <w:color w:val="000000"/>
                <w:sz w:val="18"/>
                <w:szCs w:val="18"/>
              </w:rPr>
              <w:t xml:space="preserve">. </w:t>
            </w:r>
            <w:r w:rsidRPr="00357196">
              <w:rPr>
                <w:rFonts w:ascii="Calibri" w:hAnsi="Calibri" w:eastAsia="Batang"/>
                <w:color w:val="000000"/>
                <w:sz w:val="18"/>
                <w:szCs w:val="18"/>
                <w:lang w:eastAsia="ko-KR"/>
              </w:rPr>
              <w:t>Malinowski B., Argonauci Zachodniego Pacyfiku, Relacje o Poczynaniach i przygodach krajowców z Nowej Gwinei, Warszawa 1986</w:t>
            </w:r>
          </w:p>
        </w:tc>
      </w:tr>
    </w:tbl>
    <w:p xmlns:wp14="http://schemas.microsoft.com/office/word/2010/wordml" w:rsidRPr="00357196" w:rsidR="000167D5" w:rsidRDefault="000167D5" w14:paraId="17DBC151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Pr="00357196" w:rsidR="000167D5" w:rsidRDefault="000167D5" w14:paraId="6F8BD81B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Pr="00357196" w:rsidR="000167D5" w:rsidRDefault="000167D5" w14:paraId="2613E9C1" wp14:textId="77777777">
      <w:pPr>
        <w:pStyle w:val="BalloonText"/>
        <w:rPr>
          <w:rFonts w:ascii="Arial" w:hAnsi="Arial" w:cs="Arial"/>
          <w:sz w:val="22"/>
        </w:rPr>
      </w:pPr>
    </w:p>
    <w:p xmlns:wp14="http://schemas.microsoft.com/office/word/2010/wordml" w:rsidRPr="00357196" w:rsidR="000167D5" w:rsidRDefault="000167D5" w14:paraId="0CCFC7CA" wp14:textId="77777777">
      <w:pPr>
        <w:pStyle w:val="BalloonText"/>
        <w:rPr>
          <w:rFonts w:ascii="Arial" w:hAnsi="Arial" w:cs="Arial"/>
          <w:sz w:val="22"/>
        </w:rPr>
      </w:pPr>
      <w:r w:rsidRPr="00357196">
        <w:rPr>
          <w:rFonts w:ascii="Arial" w:hAnsi="Arial" w:cs="Arial"/>
          <w:sz w:val="22"/>
        </w:rPr>
        <w:t>Bilans godzinowy zgodny z CNPS (Całkowity Nakład Pracy Studenta)</w:t>
      </w:r>
    </w:p>
    <w:p xmlns:wp14="http://schemas.microsoft.com/office/word/2010/wordml" w:rsidRPr="00357196" w:rsidR="000167D5" w:rsidRDefault="000167D5" w14:paraId="1037B8A3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xmlns:wp14="http://schemas.microsoft.com/office/word/2010/wordml" w:rsidRPr="00357196" w:rsidR="000167D5" w:rsidTr="254EA77C" w14:paraId="32BA5E81" wp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357196" w:rsidR="000167D5" w:rsidRDefault="000167D5" w14:paraId="7C25A664" wp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357196">
              <w:rPr>
                <w:rFonts w:ascii="Arial" w:hAnsi="Arial" w:eastAsia="Calibri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Mar/>
            <w:vAlign w:val="center"/>
          </w:tcPr>
          <w:p w:rsidRPr="00357196" w:rsidR="000167D5" w:rsidRDefault="000167D5" w14:paraId="5CF52D33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357196"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Mar/>
            <w:vAlign w:val="bottom"/>
          </w:tcPr>
          <w:p w:rsidRPr="00357196" w:rsidR="000167D5" w:rsidP="00197D63" w:rsidRDefault="005F0AC4" w14:paraId="18E8C380" wp14:textId="77777777">
            <w:pPr>
              <w:widowControl/>
              <w:autoSpaceDE/>
              <w:spacing w:line="276" w:lineRule="auto"/>
              <w:ind w:left="360"/>
              <w:jc w:val="right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357196"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xmlns:wp14="http://schemas.microsoft.com/office/word/2010/wordml" w:rsidRPr="00357196" w:rsidR="000167D5" w:rsidTr="254EA77C" w14:paraId="6A290288" wp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Pr="00357196" w:rsidR="000167D5" w:rsidRDefault="000167D5" w14:paraId="687C6DE0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236A68" w:rsidR="000167D5" w:rsidRDefault="000167D5" w14:paraId="6D29A719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  <w:r w:rsidRPr="00236A68">
              <w:rPr>
                <w:rFonts w:eastAsia="Calibri" w:cs="Arial"/>
                <w:sz w:val="18"/>
                <w:szCs w:val="18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Mar/>
            <w:vAlign w:val="bottom"/>
          </w:tcPr>
          <w:p w:rsidRPr="00357196" w:rsidR="000167D5" w:rsidP="00197D63" w:rsidRDefault="005F0AC4" w14:paraId="46B40F80" wp14:textId="77777777">
            <w:pPr>
              <w:widowControl/>
              <w:autoSpaceDE/>
              <w:spacing w:line="276" w:lineRule="auto"/>
              <w:ind w:left="360"/>
              <w:jc w:val="right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357196"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xmlns:wp14="http://schemas.microsoft.com/office/word/2010/wordml" w:rsidRPr="00357196" w:rsidR="000167D5" w:rsidTr="254EA77C" w14:paraId="55FDEA22" wp14:textId="77777777">
        <w:trPr>
          <w:cantSplit/>
          <w:trHeight w:val="670"/>
        </w:trPr>
        <w:tc>
          <w:tcPr>
            <w:tcW w:w="2766" w:type="dxa"/>
            <w:vMerge/>
            <w:tcBorders/>
            <w:tcMar/>
            <w:vAlign w:val="center"/>
          </w:tcPr>
          <w:p w:rsidRPr="00357196" w:rsidR="000167D5" w:rsidRDefault="000167D5" w14:paraId="5B2F9378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236A68" w:rsidR="000167D5" w:rsidRDefault="000167D5" w14:paraId="68C8A010" wp14:textId="77777777">
            <w:pPr>
              <w:spacing w:line="276" w:lineRule="auto"/>
              <w:ind w:left="360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  <w:r w:rsidRPr="00236A68">
              <w:rPr>
                <w:rFonts w:eastAsia="Calibri" w:cs="Arial"/>
                <w:sz w:val="18"/>
                <w:szCs w:val="18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bottom"/>
          </w:tcPr>
          <w:p w:rsidRPr="00357196" w:rsidR="000167D5" w:rsidP="00197D63" w:rsidRDefault="000167D5" w14:paraId="58E6DD4E" wp14:textId="77777777">
            <w:pPr>
              <w:widowControl/>
              <w:autoSpaceDE/>
              <w:spacing w:line="276" w:lineRule="auto"/>
              <w:ind w:left="360"/>
              <w:jc w:val="right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Pr="00357196" w:rsidR="000167D5" w:rsidTr="254EA77C" w14:paraId="31C10FC0" wp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357196" w:rsidR="000167D5" w:rsidRDefault="000167D5" w14:paraId="69AC145B" wp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357196">
              <w:rPr>
                <w:rFonts w:ascii="Arial" w:hAnsi="Arial" w:eastAsia="Calibri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Pr="00236A68" w:rsidR="000167D5" w:rsidRDefault="000167D5" w14:paraId="40086990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  <w:r w:rsidRPr="00236A68">
              <w:rPr>
                <w:rFonts w:eastAsia="Calibri" w:cs="Arial"/>
                <w:sz w:val="18"/>
                <w:szCs w:val="18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Mar/>
            <w:vAlign w:val="bottom"/>
          </w:tcPr>
          <w:p w:rsidRPr="00357196" w:rsidR="000167D5" w:rsidP="00197D63" w:rsidRDefault="005F0AC4" w14:paraId="2E98577D" wp14:textId="77777777">
            <w:pPr>
              <w:widowControl/>
              <w:autoSpaceDE/>
              <w:spacing w:line="276" w:lineRule="auto"/>
              <w:ind w:left="360"/>
              <w:jc w:val="right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357196"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xmlns:wp14="http://schemas.microsoft.com/office/word/2010/wordml" w:rsidRPr="00357196" w:rsidR="000167D5" w:rsidTr="254EA77C" w14:paraId="561B59D1" wp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Pr="00357196" w:rsidR="000167D5" w:rsidRDefault="000167D5" w14:paraId="7D3BEE8F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236A68" w:rsidR="000167D5" w:rsidRDefault="000167D5" w14:paraId="552D7D7C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  <w:r w:rsidRPr="00236A68">
              <w:rPr>
                <w:rFonts w:eastAsia="Calibri" w:cs="Arial"/>
                <w:sz w:val="18"/>
                <w:szCs w:val="18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Mar/>
            <w:vAlign w:val="bottom"/>
          </w:tcPr>
          <w:p w:rsidRPr="00357196" w:rsidR="000167D5" w:rsidP="00197D63" w:rsidRDefault="000167D5" w14:paraId="3B88899E" wp14:textId="77777777">
            <w:pPr>
              <w:widowControl/>
              <w:autoSpaceDE/>
              <w:spacing w:line="276" w:lineRule="auto"/>
              <w:ind w:left="360"/>
              <w:jc w:val="right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Pr="00357196" w:rsidR="000167D5" w:rsidTr="254EA77C" w14:paraId="55DF11DC" wp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Pr="00357196" w:rsidR="000167D5" w:rsidRDefault="000167D5" w14:paraId="69E2BB2B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236A68" w:rsidR="000167D5" w:rsidRDefault="000167D5" w14:paraId="0E24D7D7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  <w:r w:rsidRPr="00236A68">
              <w:rPr>
                <w:rFonts w:eastAsia="Calibri" w:cs="Arial"/>
                <w:sz w:val="18"/>
                <w:szCs w:val="18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bottom"/>
          </w:tcPr>
          <w:p w:rsidRPr="00357196" w:rsidR="000167D5" w:rsidP="00197D63" w:rsidRDefault="00DB1D1C" w14:paraId="5007C906" wp14:textId="77777777">
            <w:pPr>
              <w:widowControl/>
              <w:autoSpaceDE/>
              <w:spacing w:line="276" w:lineRule="auto"/>
              <w:ind w:left="360"/>
              <w:jc w:val="right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  <w:r w:rsidRPr="00357196" w:rsidR="005F0AC4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xmlns:wp14="http://schemas.microsoft.com/office/word/2010/wordml" w:rsidRPr="00357196" w:rsidR="000167D5" w:rsidTr="254EA77C" w14:paraId="1353FADE" wp14:textId="77777777">
        <w:trPr>
          <w:cantSplit/>
          <w:trHeight w:val="365"/>
        </w:trPr>
        <w:tc>
          <w:tcPr>
            <w:tcW w:w="2766" w:type="dxa"/>
            <w:vMerge/>
            <w:tcBorders/>
            <w:tcMar/>
            <w:vAlign w:val="center"/>
          </w:tcPr>
          <w:p w:rsidRPr="00357196" w:rsidR="000167D5" w:rsidRDefault="000167D5" w14:paraId="57C0D796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236A68" w:rsidR="000167D5" w:rsidRDefault="000167D5" w14:paraId="3D4F6784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  <w:r w:rsidRPr="00236A68">
              <w:rPr>
                <w:rFonts w:eastAsia="Calibri" w:cs="Arial"/>
                <w:sz w:val="18"/>
                <w:szCs w:val="18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bottom"/>
          </w:tcPr>
          <w:p w:rsidRPr="00357196" w:rsidR="000167D5" w:rsidP="00197D63" w:rsidRDefault="00A27F95" w14:paraId="704A35C2" wp14:textId="77777777">
            <w:pPr>
              <w:widowControl/>
              <w:autoSpaceDE/>
              <w:spacing w:line="276" w:lineRule="auto"/>
              <w:ind w:left="360"/>
              <w:jc w:val="right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4</w:t>
            </w:r>
            <w:r w:rsidRPr="00357196" w:rsidR="005F0AC4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xmlns:wp14="http://schemas.microsoft.com/office/word/2010/wordml" w:rsidRPr="00357196" w:rsidR="000167D5" w:rsidTr="254EA77C" w14:paraId="57295634" wp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357196" w:rsidR="000167D5" w:rsidRDefault="000167D5" w14:paraId="1637B343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357196"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Mar/>
            <w:vAlign w:val="bottom"/>
          </w:tcPr>
          <w:p w:rsidRPr="00357196" w:rsidR="000167D5" w:rsidP="00197D63" w:rsidRDefault="005F0AC4" w14:paraId="6A89157D" wp14:textId="77777777">
            <w:pPr>
              <w:widowControl/>
              <w:autoSpaceDE/>
              <w:spacing w:line="276" w:lineRule="auto"/>
              <w:ind w:left="360"/>
              <w:jc w:val="right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357196">
              <w:rPr>
                <w:rFonts w:ascii="Arial" w:hAnsi="Arial" w:eastAsia="Calibri" w:cs="Arial"/>
                <w:sz w:val="20"/>
                <w:szCs w:val="20"/>
                <w:lang w:eastAsia="en-US"/>
              </w:rPr>
              <w:t>1</w:t>
            </w:r>
            <w:r w:rsidR="00DB1D1C"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  <w:r w:rsidRPr="00357196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xmlns:wp14="http://schemas.microsoft.com/office/word/2010/wordml" w:rsidRPr="00357196" w:rsidR="000167D5" w:rsidTr="254EA77C" w14:paraId="56D7EBD8" wp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357196" w:rsidR="000167D5" w:rsidRDefault="000167D5" w14:paraId="06A3514F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357196">
              <w:rPr>
                <w:rFonts w:ascii="Arial" w:hAnsi="Arial" w:eastAsia="Calibri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shd w:val="clear" w:color="auto" w:fill="FFFF00"/>
            <w:tcMar/>
            <w:vAlign w:val="bottom"/>
          </w:tcPr>
          <w:p w:rsidRPr="00357196" w:rsidR="000167D5" w:rsidP="00197D63" w:rsidRDefault="006D6557" w14:paraId="44240AAE" wp14:textId="397A55FD">
            <w:pPr>
              <w:widowControl w:val="1"/>
              <w:autoSpaceDE/>
              <w:spacing w:line="276" w:lineRule="auto"/>
              <w:ind w:left="360"/>
              <w:jc w:val="right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254EA77C" w:rsidR="2444B0AC"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</w:p>
        </w:tc>
      </w:tr>
    </w:tbl>
    <w:p xmlns:wp14="http://schemas.microsoft.com/office/word/2010/wordml" w:rsidRPr="00357196" w:rsidR="000167D5" w:rsidRDefault="000167D5" w14:paraId="0D142F6F" wp14:textId="77777777">
      <w:pPr>
        <w:pStyle w:val="BalloonText"/>
        <w:rPr>
          <w:rFonts w:ascii="Arial" w:hAnsi="Arial" w:cs="Arial"/>
          <w:sz w:val="22"/>
        </w:rPr>
      </w:pPr>
    </w:p>
    <w:sectPr w:rsidRPr="00357196" w:rsidR="000167D5">
      <w:headerReference w:type="default" r:id="rId9"/>
      <w:footerReference w:type="default" r:id="rId10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xmlns:wp14="http://schemas.microsoft.com/office/word/2010/wordml" w:rsidR="00351423" w:rsidRDefault="00351423" w14:paraId="4475AD14" wp14:textId="77777777">
      <w:r>
        <w:separator/>
      </w:r>
    </w:p>
  </w:endnote>
  <w:endnote w:type="continuationSeparator" w:id="0">
    <w:p xmlns:wp14="http://schemas.microsoft.com/office/word/2010/wordml" w:rsidR="00351423" w:rsidRDefault="00351423" w14:paraId="120C4E94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236A68" w:rsidRDefault="00236A68" w14:paraId="0162ECCE" wp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B16AA">
      <w:rPr>
        <w:noProof/>
      </w:rPr>
      <w:t>7</w:t>
    </w:r>
    <w:r>
      <w:fldChar w:fldCharType="end"/>
    </w:r>
  </w:p>
  <w:p xmlns:wp14="http://schemas.microsoft.com/office/word/2010/wordml" w:rsidR="00236A68" w:rsidRDefault="00236A68" w14:paraId="75FBE423" wp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xmlns:wp14="http://schemas.microsoft.com/office/word/2010/wordml" w:rsidR="00351423" w:rsidRDefault="00351423" w14:paraId="42AFC42D" wp14:textId="77777777">
      <w:r>
        <w:separator/>
      </w:r>
    </w:p>
  </w:footnote>
  <w:footnote w:type="continuationSeparator" w:id="0">
    <w:p xmlns:wp14="http://schemas.microsoft.com/office/word/2010/wordml" w:rsidR="00351423" w:rsidRDefault="00351423" w14:paraId="271CA723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236A68" w:rsidRDefault="00236A68" w14:paraId="2D3F0BEC" wp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DF8A66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2DD333E5"/>
    <w:multiLevelType w:val="multilevel"/>
    <w:tmpl w:val="339C4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2C12E6"/>
    <w:multiLevelType w:val="hybridMultilevel"/>
    <w:tmpl w:val="04048BC6"/>
    <w:lvl w:ilvl="0" w:tplc="0415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1495492833">
    <w:abstractNumId w:val="1"/>
  </w:num>
  <w:num w:numId="2" w16cid:durableId="1515880018">
    <w:abstractNumId w:val="2"/>
  </w:num>
  <w:num w:numId="3" w16cid:durableId="1829861456">
    <w:abstractNumId w:val="5"/>
  </w:num>
  <w:num w:numId="4" w16cid:durableId="1573273267">
    <w:abstractNumId w:val="6"/>
  </w:num>
  <w:num w:numId="5" w16cid:durableId="669988984">
    <w:abstractNumId w:val="3"/>
  </w:num>
  <w:num w:numId="6" w16cid:durableId="119804631">
    <w:abstractNumId w:val="4"/>
  </w:num>
  <w:num w:numId="7" w16cid:durableId="1835879779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3E5"/>
    <w:rsid w:val="00000749"/>
    <w:rsid w:val="000167D5"/>
    <w:rsid w:val="00023072"/>
    <w:rsid w:val="000373DD"/>
    <w:rsid w:val="00044884"/>
    <w:rsid w:val="00045DBB"/>
    <w:rsid w:val="0005319C"/>
    <w:rsid w:val="00055A5D"/>
    <w:rsid w:val="00083BF1"/>
    <w:rsid w:val="000A0758"/>
    <w:rsid w:val="000C6BD9"/>
    <w:rsid w:val="001277D5"/>
    <w:rsid w:val="001431A7"/>
    <w:rsid w:val="00143C43"/>
    <w:rsid w:val="00143D7E"/>
    <w:rsid w:val="001544F2"/>
    <w:rsid w:val="00166329"/>
    <w:rsid w:val="00170541"/>
    <w:rsid w:val="001958EE"/>
    <w:rsid w:val="00197D63"/>
    <w:rsid w:val="001B0723"/>
    <w:rsid w:val="001C378D"/>
    <w:rsid w:val="001E4AC0"/>
    <w:rsid w:val="00202A47"/>
    <w:rsid w:val="0020459C"/>
    <w:rsid w:val="002115C8"/>
    <w:rsid w:val="002127DE"/>
    <w:rsid w:val="00217BF5"/>
    <w:rsid w:val="00221B04"/>
    <w:rsid w:val="00236011"/>
    <w:rsid w:val="00236A68"/>
    <w:rsid w:val="00243375"/>
    <w:rsid w:val="00250FBB"/>
    <w:rsid w:val="002723BC"/>
    <w:rsid w:val="00274554"/>
    <w:rsid w:val="00286C05"/>
    <w:rsid w:val="002923E0"/>
    <w:rsid w:val="002A2E93"/>
    <w:rsid w:val="002A55F1"/>
    <w:rsid w:val="002C0528"/>
    <w:rsid w:val="002E52D0"/>
    <w:rsid w:val="002F35B4"/>
    <w:rsid w:val="00310CD7"/>
    <w:rsid w:val="00313B9F"/>
    <w:rsid w:val="00314C5B"/>
    <w:rsid w:val="00321871"/>
    <w:rsid w:val="0032466D"/>
    <w:rsid w:val="00327697"/>
    <w:rsid w:val="00337E3F"/>
    <w:rsid w:val="00343A95"/>
    <w:rsid w:val="00351423"/>
    <w:rsid w:val="0035415B"/>
    <w:rsid w:val="00355E89"/>
    <w:rsid w:val="00357196"/>
    <w:rsid w:val="00357C9F"/>
    <w:rsid w:val="0037210C"/>
    <w:rsid w:val="00372EC1"/>
    <w:rsid w:val="003C1112"/>
    <w:rsid w:val="003D3535"/>
    <w:rsid w:val="003F18A3"/>
    <w:rsid w:val="00421376"/>
    <w:rsid w:val="004248B2"/>
    <w:rsid w:val="00457A04"/>
    <w:rsid w:val="0046522F"/>
    <w:rsid w:val="004709C1"/>
    <w:rsid w:val="00480ADA"/>
    <w:rsid w:val="004828C0"/>
    <w:rsid w:val="00493E02"/>
    <w:rsid w:val="0049715B"/>
    <w:rsid w:val="004A19A3"/>
    <w:rsid w:val="004C07C1"/>
    <w:rsid w:val="004C159C"/>
    <w:rsid w:val="004C2CFD"/>
    <w:rsid w:val="004C3138"/>
    <w:rsid w:val="004D0E56"/>
    <w:rsid w:val="004F4941"/>
    <w:rsid w:val="00501074"/>
    <w:rsid w:val="00506E5B"/>
    <w:rsid w:val="00512CE1"/>
    <w:rsid w:val="005454CF"/>
    <w:rsid w:val="00545991"/>
    <w:rsid w:val="00551A4F"/>
    <w:rsid w:val="00553D00"/>
    <w:rsid w:val="005751BF"/>
    <w:rsid w:val="00587333"/>
    <w:rsid w:val="00591AD2"/>
    <w:rsid w:val="005B0E7A"/>
    <w:rsid w:val="005C150D"/>
    <w:rsid w:val="005E01F7"/>
    <w:rsid w:val="005E107B"/>
    <w:rsid w:val="005F0AC4"/>
    <w:rsid w:val="00604DE6"/>
    <w:rsid w:val="00606089"/>
    <w:rsid w:val="00634DBB"/>
    <w:rsid w:val="006578BF"/>
    <w:rsid w:val="006663BF"/>
    <w:rsid w:val="00671E28"/>
    <w:rsid w:val="006728B4"/>
    <w:rsid w:val="006946FA"/>
    <w:rsid w:val="006A0B95"/>
    <w:rsid w:val="006A225B"/>
    <w:rsid w:val="006D6557"/>
    <w:rsid w:val="006D7229"/>
    <w:rsid w:val="006F5E45"/>
    <w:rsid w:val="00700175"/>
    <w:rsid w:val="00707C05"/>
    <w:rsid w:val="00717B3E"/>
    <w:rsid w:val="007343E5"/>
    <w:rsid w:val="00761F76"/>
    <w:rsid w:val="00770AC1"/>
    <w:rsid w:val="00772EC3"/>
    <w:rsid w:val="007A0B22"/>
    <w:rsid w:val="007A5657"/>
    <w:rsid w:val="007E0A83"/>
    <w:rsid w:val="007F6749"/>
    <w:rsid w:val="0082607D"/>
    <w:rsid w:val="00835213"/>
    <w:rsid w:val="00843FC4"/>
    <w:rsid w:val="00846024"/>
    <w:rsid w:val="00863C85"/>
    <w:rsid w:val="00865723"/>
    <w:rsid w:val="008B735C"/>
    <w:rsid w:val="008D3705"/>
    <w:rsid w:val="008D7DDB"/>
    <w:rsid w:val="008E00CC"/>
    <w:rsid w:val="008F559D"/>
    <w:rsid w:val="008F7DF2"/>
    <w:rsid w:val="00903219"/>
    <w:rsid w:val="00914AA4"/>
    <w:rsid w:val="009161C4"/>
    <w:rsid w:val="00984DBD"/>
    <w:rsid w:val="00987CEB"/>
    <w:rsid w:val="009A75EA"/>
    <w:rsid w:val="009B5881"/>
    <w:rsid w:val="009C4803"/>
    <w:rsid w:val="009C7612"/>
    <w:rsid w:val="009E53D3"/>
    <w:rsid w:val="00A27F95"/>
    <w:rsid w:val="00A3697A"/>
    <w:rsid w:val="00A441BA"/>
    <w:rsid w:val="00A47383"/>
    <w:rsid w:val="00A54C61"/>
    <w:rsid w:val="00A818F4"/>
    <w:rsid w:val="00A83871"/>
    <w:rsid w:val="00AA2744"/>
    <w:rsid w:val="00AC40BA"/>
    <w:rsid w:val="00AD2814"/>
    <w:rsid w:val="00AD552E"/>
    <w:rsid w:val="00AD5A5E"/>
    <w:rsid w:val="00AE153D"/>
    <w:rsid w:val="00AF2CF1"/>
    <w:rsid w:val="00AF7B2A"/>
    <w:rsid w:val="00B07981"/>
    <w:rsid w:val="00B141D1"/>
    <w:rsid w:val="00B16E4E"/>
    <w:rsid w:val="00B248D5"/>
    <w:rsid w:val="00B73CD8"/>
    <w:rsid w:val="00B75C40"/>
    <w:rsid w:val="00B85D64"/>
    <w:rsid w:val="00BA0305"/>
    <w:rsid w:val="00BB3B9F"/>
    <w:rsid w:val="00BF06AA"/>
    <w:rsid w:val="00C018EC"/>
    <w:rsid w:val="00C129B9"/>
    <w:rsid w:val="00C1418D"/>
    <w:rsid w:val="00C30AC9"/>
    <w:rsid w:val="00C32080"/>
    <w:rsid w:val="00C45785"/>
    <w:rsid w:val="00C47F56"/>
    <w:rsid w:val="00C535FA"/>
    <w:rsid w:val="00C61A1D"/>
    <w:rsid w:val="00C621B1"/>
    <w:rsid w:val="00CA5E82"/>
    <w:rsid w:val="00CB47CD"/>
    <w:rsid w:val="00CD31AF"/>
    <w:rsid w:val="00CE1272"/>
    <w:rsid w:val="00CE2CF1"/>
    <w:rsid w:val="00CF5DA7"/>
    <w:rsid w:val="00D0441A"/>
    <w:rsid w:val="00D12C4C"/>
    <w:rsid w:val="00D25853"/>
    <w:rsid w:val="00D42F99"/>
    <w:rsid w:val="00D4556A"/>
    <w:rsid w:val="00D64118"/>
    <w:rsid w:val="00D7318D"/>
    <w:rsid w:val="00D746F1"/>
    <w:rsid w:val="00D86E49"/>
    <w:rsid w:val="00DA4AB7"/>
    <w:rsid w:val="00DA69D4"/>
    <w:rsid w:val="00DB1D1C"/>
    <w:rsid w:val="00DD5FE5"/>
    <w:rsid w:val="00DF7473"/>
    <w:rsid w:val="00E25377"/>
    <w:rsid w:val="00E31B5B"/>
    <w:rsid w:val="00E46841"/>
    <w:rsid w:val="00E54B10"/>
    <w:rsid w:val="00E67F24"/>
    <w:rsid w:val="00E84D43"/>
    <w:rsid w:val="00EC6E4E"/>
    <w:rsid w:val="00F00EE9"/>
    <w:rsid w:val="00F03502"/>
    <w:rsid w:val="00F25572"/>
    <w:rsid w:val="00F27A19"/>
    <w:rsid w:val="00F52C6A"/>
    <w:rsid w:val="00F609A4"/>
    <w:rsid w:val="00F61064"/>
    <w:rsid w:val="00F619A9"/>
    <w:rsid w:val="00F90882"/>
    <w:rsid w:val="00FA5873"/>
    <w:rsid w:val="00FB16AA"/>
    <w:rsid w:val="00FB3AAD"/>
    <w:rsid w:val="00FE45CE"/>
    <w:rsid w:val="00FF3559"/>
    <w:rsid w:val="06508B71"/>
    <w:rsid w:val="0D64FD76"/>
    <w:rsid w:val="1039A189"/>
    <w:rsid w:val="10C5D1C9"/>
    <w:rsid w:val="1B57E2F6"/>
    <w:rsid w:val="20EB956F"/>
    <w:rsid w:val="2444B0AC"/>
    <w:rsid w:val="25067568"/>
    <w:rsid w:val="254EA77C"/>
    <w:rsid w:val="256FC516"/>
    <w:rsid w:val="2CE6554E"/>
    <w:rsid w:val="5ED3D3EB"/>
    <w:rsid w:val="7551E051"/>
    <w:rsid w:val="7CC42261"/>
    <w:rsid w:val="7EDCC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25337B2F"/>
  <w15:chartTrackingRefBased/>
  <w15:docId w15:val="{9BC73F34-C035-4294-BF7B-F271FC2875A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72" w:semiHidden="1" w:unhideWhenUsed="1"/>
    <w:lsdException w:name="Plain Table 2" w:uiPriority="73" w:semiHidden="1" w:unhideWhenUsed="1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 w:semiHidden="1" w:unhideWhenUsed="1"/>
    <w:lsdException w:name="Grid Table 3" w:uiPriority="39" w:semiHidden="1" w:unhideWhenUsed="1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semiHidden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annotationsubject" w:customStyle="1">
    <w:name w:val="annotation subject"/>
    <w:basedOn w:val="Tekstkomentarza"/>
    <w:next w:val="Tekstkomentarza"/>
    <w:rPr>
      <w:b/>
      <w:bCs/>
    </w:rPr>
  </w:style>
  <w:style w:type="paragraph" w:styleId="BalloonText" w:customStyle="1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NormalnyWeb">
    <w:name w:val="Normal (Web)"/>
    <w:basedOn w:val="Normalny"/>
    <w:rsid w:val="007F6749"/>
    <w:pPr>
      <w:widowControl/>
      <w:suppressAutoHyphens w:val="0"/>
      <w:autoSpaceDE/>
      <w:spacing w:before="100" w:beforeAutospacing="1" w:after="100" w:afterAutospacing="1"/>
    </w:pPr>
    <w:rPr>
      <w:rFonts w:eastAsia="Batang"/>
      <w:lang w:eastAsia="ko-KR"/>
    </w:rPr>
  </w:style>
  <w:style w:type="character" w:styleId="wrtext" w:customStyle="1">
    <w:name w:val="wrtext"/>
    <w:basedOn w:val="Domylnaczcionkaakapitu"/>
    <w:rsid w:val="00044884"/>
  </w:style>
  <w:style w:type="character" w:styleId="st" w:customStyle="1">
    <w:name w:val="st"/>
    <w:basedOn w:val="Domylnaczcionkaakapitu"/>
    <w:rsid w:val="00984DBD"/>
  </w:style>
  <w:style w:type="character" w:styleId="Uwydatnienie">
    <w:name w:val="Emphasis"/>
    <w:qFormat/>
    <w:rsid w:val="00984DB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5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D0726E-FB8F-413F-85D2-842616FA17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9F100F-EB2F-4922-8B4B-ABE8EE829B0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subject/>
  <dc:creator>Barbara Wilk</dc:creator>
  <keywords/>
  <lastModifiedBy>Renata Czop</lastModifiedBy>
  <revision>3</revision>
  <lastPrinted>2014-03-28T22:34:00.0000000Z</lastPrinted>
  <dcterms:created xsi:type="dcterms:W3CDTF">2024-10-18T17:35:00.0000000Z</dcterms:created>
  <dcterms:modified xsi:type="dcterms:W3CDTF">2024-10-18T17:38:22.2347250Z</dcterms:modified>
</coreProperties>
</file>